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600"/>
      </w:pPr>
    </w:p>
    <w:p>
      <w:pPr>
        <w:spacing w:after="200"/>
        <w:jc w:val="center"/>
      </w:pPr>
      <w:r>
        <w:rPr>
          <w:rFonts w:ascii="Arial" w:cs="Arial" w:eastAsia="Arial" w:hAnsi="Arial"/>
          <w:b/>
          <w:bCs/>
          <w:color w:val="0A2540"/>
          <w:sz w:val="48"/>
          <w:szCs w:val="48"/>
        </w:rPr>
        <w:t xml:space="preserve">HOLON GARDENS</w:t>
      </w:r>
    </w:p>
    <w:p>
      <w:pPr>
        <w:spacing w:after="120"/>
        <w:jc w:val="center"/>
      </w:pPr>
      <w:r>
        <w:rPr>
          <w:rFonts w:ascii="Arial" w:cs="Arial" w:eastAsia="Arial" w:hAnsi="Arial"/>
          <w:color w:val="18A95A"/>
          <w:sz w:val="28"/>
          <w:szCs w:val="28"/>
        </w:rPr>
        <w:t xml:space="preserve">Metrics &amp; Calculations Transparency Report</w:t>
      </w:r>
    </w:p>
    <w:p>
      <w:pPr>
        <w:spacing w:after="60"/>
        <w:jc w:val="center"/>
      </w:pPr>
      <w:r>
        <w:rPr>
          <w:rFonts w:ascii="Arial" w:cs="Arial" w:eastAsia="Arial" w:hAnsi="Arial"/>
          <w:color w:val="666666"/>
          <w:sz w:val="22"/>
          <w:szCs w:val="22"/>
        </w:rPr>
        <w:t xml:space="preserve">Public Disclosure Document</w:t>
      </w:r>
    </w:p>
    <w:p>
      <w:pPr>
        <w:spacing w:before="600"/>
      </w:pPr>
    </w:p>
    <w:p>
      <w:pPr>
        <w:spacing w:after="120" w:before="0"/>
        <w:jc w:val="center"/>
      </w:pPr>
      <w:r>
        <w:rPr>
          <w:rFonts w:ascii="Arial" w:cs="Arial" w:eastAsia="Arial" w:hAnsi="Arial"/>
          <w:b w:val="false"/>
          <w:bCs w:val="false"/>
          <w:i w:val="false"/>
          <w:iCs w:val="false"/>
          <w:color w:val="666666"/>
          <w:sz w:val="20"/>
          <w:szCs w:val="20"/>
        </w:rPr>
        <w:t xml:space="preserve">Prepared by Holon Foundation, a 501(c)(3) nonprofit organization.</w:t>
      </w:r>
    </w:p>
    <w:p>
      <w:pPr>
        <w:spacing w:after="120" w:before="0"/>
        <w:jc w:val="center"/>
      </w:pPr>
      <w:r>
        <w:rPr>
          <w:rFonts w:ascii="Arial" w:cs="Arial" w:eastAsia="Arial" w:hAnsi="Arial"/>
          <w:b w:val="false"/>
          <w:bCs w:val="false"/>
          <w:i w:val="false"/>
          <w:iCs w:val="false"/>
          <w:color w:val="999999"/>
          <w:sz w:val="18"/>
          <w:szCs w:val="18"/>
        </w:rPr>
        <w:t xml:space="preserve">Document Version: 1.0  |  Published: March 23, 2026</w:t>
      </w:r>
    </w:p>
    <w:p>
      <w:pPr>
        <w:spacing w:after="120" w:before="0"/>
        <w:jc w:val="center"/>
      </w:pPr>
      <w:r>
        <w:rPr>
          <w:rFonts w:ascii="Arial" w:cs="Arial" w:eastAsia="Arial" w:hAnsi="Arial"/>
          <w:b w:val="false"/>
          <w:bCs w:val="false"/>
          <w:i/>
          <w:iCs/>
          <w:color w:val="999999"/>
          <w:sz w:val="16"/>
          <w:szCs w:val="16"/>
        </w:rPr>
        <w:t xml:space="preserve">Source Files: portal.html (21,435 lines) + ecological-modules.js (4,069 lines)</w:t>
      </w:r>
    </w:p>
    <w:p>
      <w:pPr>
        <w:spacing w:before="1200"/>
      </w:pPr>
    </w:p>
    <w:p>
      <w:pPr>
        <w:pBdr>
          <w:top w:val="single" w:color="18A95A" w:sz="6" w:space="8"/>
        </w:pBdr>
        <w:spacing w:after="120"/>
        <w:jc w:val="center"/>
      </w:pPr>
    </w:p>
    <w:p>
      <w:pPr>
        <w:spacing w:after="80"/>
        <w:jc w:val="center"/>
      </w:pPr>
      <w:r>
        <w:rPr>
          <w:rFonts w:ascii="Arial" w:cs="Arial" w:eastAsia="Arial" w:hAnsi="Arial"/>
          <w:color w:val="666666"/>
          <w:sz w:val="18"/>
          <w:szCs w:val="18"/>
        </w:rPr>
        <w:t xml:space="preserve">This document is published voluntarily as part of Holon Foundation’s commitment</w:t>
      </w:r>
    </w:p>
    <w:p>
      <w:pPr>
        <w:spacing w:after="80"/>
        <w:jc w:val="center"/>
      </w:pPr>
      <w:r>
        <w:rPr>
          <w:rFonts w:ascii="Arial" w:cs="Arial" w:eastAsia="Arial" w:hAnsi="Arial"/>
          <w:color w:val="666666"/>
          <w:sz w:val="18"/>
          <w:szCs w:val="18"/>
        </w:rPr>
        <w:t xml:space="preserve">to radical transparency in ecological impact measurement.</w:t>
      </w:r>
    </w:p>
    <w:p>
      <w:pPr>
        <w:spacing w:after="80"/>
        <w:jc w:val="center"/>
      </w:pPr>
      <w:r>
        <w:rPr>
          <w:rFonts w:ascii="Arial" w:cs="Arial" w:eastAsia="Arial" w:hAnsi="Arial"/>
          <w:b/>
          <w:bCs/>
          <w:color w:val="18A95A"/>
          <w:sz w:val="18"/>
          <w:szCs w:val="18"/>
        </w:rPr>
        <w:t xml:space="preserve">Community feedback is actively welcomed and encouraged.</w:t>
      </w:r>
    </w:p>
    <w:p>
      <w:r>
        <w:br w:type="page"/>
      </w:r>
    </w:p>
    <w:sdt>
      <w:sdtPr>
        <w:alias w:val="Table of Contents"/>
      </w:sdtPr>
      <w:sdtContent>
        <w:p>
          <w:r>
            <w:fldChar w:fldCharType="begin" w:dirty="true"/>
            <w:instrText xml:space="preserve">TOC \h \o "1-3"</w:instrText>
            <w:fldChar w:fldCharType="separate"/>
          </w:r>
        </w:p>
        <w:p>
          <w:r>
            <w:fldChar w:fldCharType="end"/>
          </w:r>
        </w:p>
      </w:sdtContent>
    </w:sdt>
    <w:p>
      <w:r>
        <w:br w:type="page"/>
      </w:r>
    </w:p>
    <w:p>
      <w:pPr>
        <w:pStyle w:val="Heading1"/>
        <w:spacing w:before="360" w:after="120"/>
      </w:pPr>
      <w:r>
        <w:rPr>
          <w:rFonts w:ascii="Arial" w:cs="Arial" w:eastAsia="Arial" w:hAnsi="Arial"/>
        </w:rPr>
        <w:t xml:space="preserve">1. Purpose &amp; Philosophy</w:t>
      </w:r>
    </w:p>
    <w:p>
      <w:pPr>
        <w:spacing w:after="120" w:before="0"/>
        <w:jc w:val="left"/>
      </w:pPr>
      <w:r>
        <w:rPr>
          <w:rFonts w:ascii="Arial" w:cs="Arial" w:eastAsia="Arial" w:hAnsi="Arial"/>
          <w:b w:val="false"/>
          <w:bCs w:val="false"/>
          <w:i w:val="false"/>
          <w:iCs w:val="false"/>
          <w:color w:val="333333"/>
          <w:sz w:val="20"/>
          <w:szCs w:val="20"/>
        </w:rPr>
        <w:t xml:space="preserve">Holon Foundation believes that every number shown to our stewards and the public should be traceable, explainable, and open to challenge. This document discloses the complete set of metric calculations used across the Holon Gardens platform, including the formulas, data sources, assumptions, and limitations behind every indicator displayed on garden dashboards, ecological assessments, and public impact summaries.</w:t>
      </w:r>
    </w:p>
    <w:p>
      <w:pPr>
        <w:spacing w:after="120" w:before="0"/>
        <w:jc w:val="left"/>
      </w:pPr>
      <w:r>
        <w:rPr>
          <w:rFonts w:ascii="Arial" w:cs="Arial" w:eastAsia="Arial" w:hAnsi="Arial"/>
          <w:b w:val="false"/>
          <w:bCs w:val="false"/>
          <w:i w:val="false"/>
          <w:iCs w:val="false"/>
          <w:color w:val="333333"/>
          <w:sz w:val="20"/>
          <w:szCs w:val="20"/>
        </w:rPr>
        <w:t xml:space="preserve">We publish this report not because regulations require it, but because we believe transparency is a precondition for trust. If our community cannot verify how we arrive at our numbers, those numbers have no legitimate authority. We would rather be corrected than be wrong in silence.</w:t>
      </w:r>
    </w:p>
    <w:p>
      <w:pPr>
        <w:spacing w:after="120" w:before="0"/>
        <w:jc w:val="left"/>
      </w:pPr>
      <w:r>
        <w:rPr>
          <w:rFonts w:ascii="Arial" w:cs="Arial" w:eastAsia="Arial" w:hAnsi="Arial"/>
          <w:b w:val="false"/>
          <w:bCs w:val="false"/>
          <w:i w:val="false"/>
          <w:iCs w:val="false"/>
          <w:color w:val="333333"/>
          <w:sz w:val="20"/>
          <w:szCs w:val="20"/>
        </w:rPr>
        <w:t xml:space="preserve">This document is a living artifact. As our models improve, as community members identify errors or better data sources, and as peer-reviewed research evolves, this document will be updated accordingly. Every revision will be versioned, dated, and publicly available.</w:t>
      </w:r>
    </w:p>
    <w:p>
      <w:pPr>
        <w:pStyle w:val="Heading2"/>
        <w:spacing w:before="240" w:after="120"/>
      </w:pPr>
      <w:r>
        <w:rPr>
          <w:rFonts w:ascii="Arial" w:cs="Arial" w:eastAsia="Arial" w:hAnsi="Arial"/>
        </w:rPr>
        <w:t xml:space="preserve">1.1 Invitation for Feedback</w:t>
      </w:r>
    </w:p>
    <w:p>
      <w:pPr>
        <w:spacing w:after="120" w:before="0"/>
        <w:jc w:val="left"/>
      </w:pPr>
      <w:r>
        <w:rPr>
          <w:rFonts w:ascii="Arial" w:cs="Arial" w:eastAsia="Arial" w:hAnsi="Arial"/>
          <w:b w:val="false"/>
          <w:bCs w:val="false"/>
          <w:i w:val="false"/>
          <w:iCs w:val="false"/>
          <w:color w:val="333333"/>
          <w:sz w:val="20"/>
          <w:szCs w:val="20"/>
        </w:rPr>
        <w:t xml:space="preserve">We actively invite stewards, researchers, ecologists, data scientists, community members, and the general public to review these calculations and submit feedback. If you identify an error, a better data source, an improved methodology, or a concern about how a metric may be interpreted, we want to hear from you.</w:t>
      </w:r>
    </w:p>
    <w:p>
      <w:pPr>
        <w:spacing w:after="80"/>
      </w:pPr>
      <w:r>
        <w:rPr>
          <w:rFonts w:ascii="Arial" w:cs="Arial" w:eastAsia="Arial" w:hAnsi="Arial"/>
          <w:b/>
          <w:bCs/>
          <w:color w:val="0A2540"/>
          <w:sz w:val="20"/>
          <w:szCs w:val="20"/>
        </w:rPr>
        <w:t xml:space="preserve">Submit feedback by email: </w:t>
      </w:r>
      <w:r>
        <w:rPr>
          <w:rFonts w:ascii="Arial" w:cs="Arial" w:eastAsia="Arial" w:hAnsi="Arial"/>
          <w:color w:val="333333"/>
          <w:sz w:val="20"/>
          <w:szCs w:val="20"/>
        </w:rPr>
        <w:t xml:space="preserve">info@holonfoundation.org</w:t>
      </w:r>
    </w:p>
    <w:p>
      <w:pPr>
        <w:spacing w:after="80"/>
      </w:pPr>
      <w:r>
        <w:rPr>
          <w:rFonts w:ascii="Arial" w:cs="Arial" w:eastAsia="Arial" w:hAnsi="Arial"/>
          <w:b/>
          <w:bCs/>
          <w:color w:val="0A2540"/>
          <w:sz w:val="20"/>
          <w:szCs w:val="20"/>
        </w:rPr>
        <w:t xml:space="preserve">Subject line: </w:t>
      </w:r>
      <w:r>
        <w:rPr>
          <w:rFonts w:ascii="Arial" w:cs="Arial" w:eastAsia="Arial" w:hAnsi="Arial"/>
          <w:color w:val="333333"/>
          <w:sz w:val="20"/>
          <w:szCs w:val="20"/>
        </w:rPr>
        <w:t xml:space="preserve">[Metrics Feedback] Your topic here</w:t>
      </w:r>
    </w:p>
    <w:p>
      <w:pPr>
        <w:spacing w:after="80"/>
      </w:pPr>
      <w:r>
        <w:rPr>
          <w:rFonts w:ascii="Arial" w:cs="Arial" w:eastAsia="Arial" w:hAnsi="Arial"/>
          <w:b/>
          <w:bCs/>
          <w:color w:val="0A2540"/>
          <w:sz w:val="20"/>
          <w:szCs w:val="20"/>
        </w:rPr>
        <w:t xml:space="preserve">Submit feedback via web form: </w:t>
      </w:r>
      <w:hyperlink w:history="1" r:id="rIdbglhydlzivlgaeemqsb5e">
        <w:r>
          <w:rPr>
            <w:rStyle w:val="Hyperlink"/>
            <w:rFonts w:ascii="Arial" w:cs="Arial" w:eastAsia="Arial" w:hAnsi="Arial"/>
            <w:sz w:val="20"/>
            <w:szCs w:val="20"/>
          </w:rPr>
          <w:t xml:space="preserve">holongardens.org/about.html#contact</w:t>
        </w:r>
      </w:hyperlink>
    </w:p>
    <w:p>
      <w:pPr>
        <w:spacing w:after="120" w:before="0"/>
        <w:jc w:val="left"/>
      </w:pPr>
      <w:r>
        <w:rPr>
          <w:rFonts w:ascii="Arial" w:cs="Arial" w:eastAsia="Arial" w:hAnsi="Arial"/>
          <w:b w:val="false"/>
          <w:bCs w:val="false"/>
          <w:i w:val="false"/>
          <w:iCs w:val="false"/>
          <w:color w:val="333333"/>
          <w:sz w:val="20"/>
          <w:szCs w:val="20"/>
        </w:rPr>
        <w:t xml:space="preserve">All substantive feedback will be reviewed by the Holon Foundation Governance Committee and, where appropriate, incorporated into future versions of this document and the platform calculations. Contributors who improve our methodology will be acknowledged (with permission) in the revision notes.</w:t>
      </w:r>
    </w:p>
    <w:p>
      <w:r>
        <w:br w:type="page"/>
      </w:r>
    </w:p>
    <w:p>
      <w:pPr>
        <w:pStyle w:val="Heading1"/>
        <w:spacing w:before="360" w:after="120"/>
      </w:pPr>
      <w:r>
        <w:rPr>
          <w:rFonts w:ascii="Arial" w:cs="Arial" w:eastAsia="Arial" w:hAnsi="Arial"/>
        </w:rPr>
        <w:t xml:space="preserve">2. Legal Disclaimers &amp; Limitations</w:t>
      </w:r>
    </w:p>
    <w:p>
      <w:pPr>
        <w:pStyle w:val="Heading2"/>
        <w:spacing w:before="240" w:after="120"/>
      </w:pPr>
      <w:r>
        <w:rPr>
          <w:rFonts w:ascii="Arial" w:cs="Arial" w:eastAsia="Arial" w:hAnsi="Arial"/>
        </w:rPr>
        <w:t xml:space="preserve">2.1 General Disclaimer</w:t>
      </w:r>
    </w:p>
    <w:p>
      <w:pPr>
        <w:spacing w:after="120" w:before="0"/>
        <w:jc w:val="left"/>
      </w:pPr>
      <w:r>
        <w:rPr>
          <w:rFonts w:ascii="Arial" w:cs="Arial" w:eastAsia="Arial" w:hAnsi="Arial"/>
          <w:b w:val="false"/>
          <w:bCs w:val="false"/>
          <w:i w:val="false"/>
          <w:iCs w:val="false"/>
          <w:color w:val="333333"/>
          <w:sz w:val="20"/>
          <w:szCs w:val="20"/>
        </w:rPr>
        <w:t xml:space="preserve">The metrics, calculations, and impact estimates presented in this document and on the Holon Gardens platform are provided for informational and educational purposes only. They are based on peer-reviewed scientific literature, publicly available government data, and established environmental models, but they are estimates and approximations—not certified measurements.</w:t>
      </w:r>
    </w:p>
    <w:p>
      <w:pPr>
        <w:pStyle w:val="Heading2"/>
        <w:spacing w:before="240" w:after="120"/>
      </w:pPr>
      <w:r>
        <w:rPr>
          <w:rFonts w:ascii="Arial" w:cs="Arial" w:eastAsia="Arial" w:hAnsi="Arial"/>
        </w:rPr>
        <w:t xml:space="preserve">2.2 Not Professional Advice</w:t>
      </w:r>
    </w:p>
    <w:p>
      <w:pPr>
        <w:spacing w:after="120" w:before="0"/>
        <w:jc w:val="left"/>
      </w:pPr>
      <w:r>
        <w:rPr>
          <w:rFonts w:ascii="Arial" w:cs="Arial" w:eastAsia="Arial" w:hAnsi="Arial"/>
          <w:b w:val="false"/>
          <w:bCs w:val="false"/>
          <w:i w:val="false"/>
          <w:iCs w:val="false"/>
          <w:color w:val="333333"/>
          <w:sz w:val="20"/>
          <w:szCs w:val="20"/>
        </w:rPr>
        <w:t xml:space="preserve">Nothing in this document constitutes professional ecological, environmental, engineering, financial, legal, or real estate advice. The impact calculations should not be used as the sole basis for financial decisions, property valuations, insurance claims, regulatory compliance, or legal proceedings. Users should consult qualified professionals for site-specific assessments.</w:t>
      </w:r>
    </w:p>
    <w:p>
      <w:pPr>
        <w:pStyle w:val="Heading2"/>
        <w:spacing w:before="240" w:after="120"/>
      </w:pPr>
      <w:r>
        <w:rPr>
          <w:rFonts w:ascii="Arial" w:cs="Arial" w:eastAsia="Arial" w:hAnsi="Arial"/>
        </w:rPr>
        <w:t xml:space="preserve">2.3 Model Limitations</w:t>
      </w:r>
    </w:p>
    <w:p>
      <w:pPr>
        <w:spacing w:after="120" w:before="0"/>
        <w:jc w:val="left"/>
      </w:pPr>
      <w:r>
        <w:rPr>
          <w:rFonts w:ascii="Arial" w:cs="Arial" w:eastAsia="Arial" w:hAnsi="Arial"/>
          <w:b w:val="false"/>
          <w:bCs w:val="false"/>
          <w:i w:val="false"/>
          <w:iCs w:val="false"/>
          <w:color w:val="333333"/>
          <w:sz w:val="20"/>
          <w:szCs w:val="20"/>
        </w:rPr>
        <w:t xml:space="preserve">All environmental models involve simplifying assumptions. The Holon Gardens calculation engine uses zone-level averages (not parcel-specific data), linear scaling for most metrics, and literature-derived constants that represent typical conditions rather than site-specific measurements. Actual ecological performance varies based on soil type, microclimate, plant maturity, maintenance practices, adjacent land use, rainfall patterns, and many other factors not captured in our model.</w:t>
      </w:r>
    </w:p>
    <w:p>
      <w:pPr>
        <w:pStyle w:val="Heading2"/>
        <w:spacing w:before="240" w:after="120"/>
      </w:pPr>
      <w:r>
        <w:rPr>
          <w:rFonts w:ascii="Arial" w:cs="Arial" w:eastAsia="Arial" w:hAnsi="Arial"/>
        </w:rPr>
        <w:t xml:space="preserve">2.4 Data Source Limitations</w:t>
      </w:r>
    </w:p>
    <w:p>
      <w:pPr>
        <w:spacing w:after="120" w:before="0"/>
        <w:jc w:val="left"/>
      </w:pPr>
      <w:r>
        <w:rPr>
          <w:rFonts w:ascii="Arial" w:cs="Arial" w:eastAsia="Arial" w:hAnsi="Arial"/>
          <w:b w:val="false"/>
          <w:bCs w:val="false"/>
          <w:i w:val="false"/>
          <w:iCs w:val="false"/>
          <w:color w:val="333333"/>
          <w:sz w:val="20"/>
          <w:szCs w:val="20"/>
        </w:rPr>
        <w:t xml:space="preserve">Baseline parameters derive from published research, NOAA climate normals, EPA reports, USDA Forest Service data, and academic literature. These sources are cited throughout this document. However, science evolves; constants used today may be refined by future research. We commit to updating our baselines as better data becomes available.</w:t>
      </w:r>
    </w:p>
    <w:p>
      <w:pPr>
        <w:pStyle w:val="Heading2"/>
        <w:spacing w:before="240" w:after="120"/>
      </w:pPr>
      <w:r>
        <w:rPr>
          <w:rFonts w:ascii="Arial" w:cs="Arial" w:eastAsia="Arial" w:hAnsi="Arial"/>
        </w:rPr>
        <w:t xml:space="preserve">2.5 No Guarantee of Outcomes</w:t>
      </w:r>
    </w:p>
    <w:p>
      <w:pPr>
        <w:spacing w:after="120" w:before="0"/>
        <w:jc w:val="left"/>
      </w:pPr>
      <w:r>
        <w:rPr>
          <w:rFonts w:ascii="Arial" w:cs="Arial" w:eastAsia="Arial" w:hAnsi="Arial"/>
          <w:b w:val="false"/>
          <w:bCs w:val="false"/>
          <w:i w:val="false"/>
          <w:iCs w:val="false"/>
          <w:color w:val="333333"/>
          <w:sz w:val="20"/>
          <w:szCs w:val="20"/>
        </w:rPr>
        <w:t xml:space="preserve">Registering a garden on the Holon platform and receiving calculated impact metrics does not guarantee that the stated ecological, economic, or social outcomes will materialize. Metrics represent potential impact under typical conditions, not verified or measured outcomes.</w:t>
      </w:r>
    </w:p>
    <w:p>
      <w:pPr>
        <w:pStyle w:val="Heading2"/>
        <w:spacing w:before="240" w:after="120"/>
      </w:pPr>
      <w:r>
        <w:rPr>
          <w:rFonts w:ascii="Arial" w:cs="Arial" w:eastAsia="Arial" w:hAnsi="Arial"/>
        </w:rPr>
        <w:t xml:space="preserve">2.6 Voluntary Stewardship</w:t>
      </w:r>
    </w:p>
    <w:p>
      <w:pPr>
        <w:spacing w:after="120" w:before="0"/>
        <w:jc w:val="left"/>
      </w:pPr>
      <w:r>
        <w:rPr>
          <w:rFonts w:ascii="Arial" w:cs="Arial" w:eastAsia="Arial" w:hAnsi="Arial"/>
          <w:b w:val="false"/>
          <w:bCs w:val="false"/>
          <w:i w:val="false"/>
          <w:iCs w:val="false"/>
          <w:color w:val="333333"/>
          <w:sz w:val="20"/>
          <w:szCs w:val="20"/>
        </w:rPr>
        <w:t xml:space="preserve">The Holon Community Stewardship Model is a voluntary, community-verified recognition system. It is not a conservation trust, legal land easement, permanent deed restriction, or any form of legally binding obligation. Participants may modify or withdraw their stewardship commitments at any time. Verification through this platform carries no legal authority and creates no encumbrance on property.</w:t>
      </w:r>
    </w:p>
    <w:p>
      <w:pPr>
        <w:pStyle w:val="Heading2"/>
        <w:spacing w:before="240" w:after="120"/>
      </w:pPr>
      <w:r>
        <w:rPr>
          <w:rFonts w:ascii="Arial" w:cs="Arial" w:eastAsia="Arial" w:hAnsi="Arial"/>
        </w:rPr>
        <w:t xml:space="preserve">2.7 Intellectual Property</w:t>
      </w:r>
    </w:p>
    <w:p>
      <w:pPr>
        <w:spacing w:after="120" w:before="0"/>
        <w:jc w:val="left"/>
      </w:pPr>
      <w:r>
        <w:rPr>
          <w:rFonts w:ascii="Arial" w:cs="Arial" w:eastAsia="Arial" w:hAnsi="Arial"/>
          <w:b w:val="false"/>
          <w:bCs w:val="false"/>
          <w:i w:val="false"/>
          <w:iCs w:val="false"/>
          <w:color w:val="333333"/>
          <w:sz w:val="20"/>
          <w:szCs w:val="20"/>
        </w:rPr>
        <w:t xml:space="preserve">The calculation methodologies, code, and platform design are the intellectual property of Holon Foundation. This transparency report is published under a Creative Commons Attribution-NonCommercial-ShareAlike 4.0 International License (CC BY-NC-SA 4.0), meaning you are free to share and adapt this document for non-commercial purposes with appropriate attribution.</w:t>
      </w:r>
    </w:p>
    <w:p>
      <w:pPr>
        <w:pStyle w:val="Heading2"/>
        <w:spacing w:before="240" w:after="120"/>
      </w:pPr>
      <w:r>
        <w:rPr>
          <w:rFonts w:ascii="Arial" w:cs="Arial" w:eastAsia="Arial" w:hAnsi="Arial"/>
        </w:rPr>
        <w:t xml:space="preserve">2.8 Limitation of Liability</w:t>
      </w:r>
    </w:p>
    <w:p>
      <w:pPr>
        <w:spacing w:after="120" w:before="0"/>
        <w:jc w:val="left"/>
      </w:pPr>
      <w:r>
        <w:rPr>
          <w:rFonts w:ascii="Arial" w:cs="Arial" w:eastAsia="Arial" w:hAnsi="Arial"/>
          <w:b w:val="false"/>
          <w:bCs w:val="false"/>
          <w:i w:val="false"/>
          <w:iCs w:val="false"/>
          <w:color w:val="333333"/>
          <w:sz w:val="20"/>
          <w:szCs w:val="20"/>
        </w:rPr>
        <w:t xml:space="preserve">To the fullest extent permitted by law, Holon Foundation, its directors, officers, employees, and volunteers shall not be liable for any direct, indirect, incidental, consequential, or special damages arising from reliance on the metrics, calculations, or impact estimates presented in this document or on the platform. Users assume all risk associated with the use of this information.</w:t>
      </w:r>
    </w:p>
    <w:p>
      <w:r>
        <w:br w:type="page"/>
      </w:r>
    </w:p>
    <w:p>
      <w:pPr>
        <w:pStyle w:val="Heading1"/>
        <w:spacing w:before="360" w:after="120"/>
      </w:pPr>
      <w:r>
        <w:rPr>
          <w:rFonts w:ascii="Arial" w:cs="Arial" w:eastAsia="Arial" w:hAnsi="Arial"/>
        </w:rPr>
        <w:t xml:space="preserve">3. Geographic Zone Baselines</w:t>
      </w:r>
    </w:p>
    <w:p>
      <w:pPr>
        <w:spacing w:after="120" w:before="0"/>
        <w:jc w:val="left"/>
      </w:pPr>
      <w:r>
        <w:rPr>
          <w:rFonts w:ascii="Arial" w:cs="Arial" w:eastAsia="Arial" w:hAnsi="Arial"/>
          <w:b w:val="false"/>
          <w:bCs w:val="false"/>
          <w:i w:val="false"/>
          <w:iCs w:val="false"/>
          <w:color w:val="333333"/>
          <w:sz w:val="20"/>
          <w:szCs w:val="20"/>
        </w:rPr>
        <w:t xml:space="preserve">Every impact calculation begins with a zone-specific baseline. The system detects the garden’s geographic zone from its registered city or address and applies the corresponding constants. Four zones are currently defined: Central Texas (Austin/San Antonio corridor), Gulf Coast Texas (Houston/Galveston/Beaumont), North Texas/DFW (Dallas/Fort Worth metro), and a Default fallback for unrecognized locations.</w:t>
      </w:r>
    </w:p>
    <w:p>
      <w:pPr>
        <w:pStyle w:val="Heading2"/>
        <w:spacing w:before="240" w:after="120"/>
      </w:pPr>
      <w:r>
        <w:rPr>
          <w:rFonts w:ascii="Arial" w:cs="Arial" w:eastAsia="Arial" w:hAnsi="Arial"/>
        </w:rPr>
        <w:t xml:space="preserve">3.1 Zone Parameters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1590"/>
        <w:gridCol w:w="1590"/>
        <w:gridCol w:w="1590"/>
        <w:gridCol w:w="1590"/>
      </w:tblGrid>
      <w:tr>
        <w:tc>
          <w:tcPr>
            <w:tcW w:type="dxa" w:w="3000"/>
            <w:tcBorders>
              <w:top w:val="single" w:color="CCCCCC" w:sz="1"/>
              <w:left w:val="single" w:color="CCCCCC" w:sz="1"/>
              <w:bottom w:val="single" w:color="CCCCCC" w:sz="1"/>
              <w:right w:val="single" w:color="CCCCCC" w:sz="1"/>
            </w:tcBorders>
            <w:shd w:fill="0A2540" w:val="clear"/>
            <w:tcMar>
              <w:top w:type="dxa" w:w="60"/>
              <w:left w:type="dxa" w:w="100"/>
              <w:bottom w:type="dxa" w:w="60"/>
              <w:right w:type="dxa" w:w="100"/>
            </w:tcMar>
          </w:tcPr>
          <w:p>
            <w:r>
              <w:rPr>
                <w:rFonts w:ascii="Arial" w:cs="Arial" w:eastAsia="Arial" w:hAnsi="Arial"/>
                <w:b/>
                <w:bCs/>
                <w:color w:val="FFFFFF"/>
                <w:sz w:val="18"/>
                <w:szCs w:val="18"/>
              </w:rPr>
              <w:t xml:space="preserve">Parameter</w:t>
            </w:r>
          </w:p>
        </w:tc>
        <w:tc>
          <w:tcPr>
            <w:tcW w:type="dxa" w:w="1590"/>
            <w:tcBorders>
              <w:top w:val="single" w:color="CCCCCC" w:sz="1"/>
              <w:left w:val="single" w:color="CCCCCC" w:sz="1"/>
              <w:bottom w:val="single" w:color="CCCCCC" w:sz="1"/>
              <w:right w:val="single" w:color="CCCCCC" w:sz="1"/>
            </w:tcBorders>
            <w:shd w:fill="0A2540" w:val="clear"/>
            <w:tcMar>
              <w:top w:type="dxa" w:w="60"/>
              <w:left w:type="dxa" w:w="100"/>
              <w:bottom w:type="dxa" w:w="60"/>
              <w:right w:type="dxa" w:w="100"/>
            </w:tcMar>
          </w:tcPr>
          <w:p>
            <w:r>
              <w:rPr>
                <w:rFonts w:ascii="Arial" w:cs="Arial" w:eastAsia="Arial" w:hAnsi="Arial"/>
                <w:b/>
                <w:bCs/>
                <w:color w:val="FFFFFF"/>
                <w:sz w:val="18"/>
                <w:szCs w:val="18"/>
              </w:rPr>
              <w:t xml:space="preserve">Central TX</w:t>
            </w:r>
          </w:p>
        </w:tc>
        <w:tc>
          <w:tcPr>
            <w:tcW w:type="dxa" w:w="1590"/>
            <w:tcBorders>
              <w:top w:val="single" w:color="CCCCCC" w:sz="1"/>
              <w:left w:val="single" w:color="CCCCCC" w:sz="1"/>
              <w:bottom w:val="single" w:color="CCCCCC" w:sz="1"/>
              <w:right w:val="single" w:color="CCCCCC" w:sz="1"/>
            </w:tcBorders>
            <w:shd w:fill="0A2540" w:val="clear"/>
            <w:tcMar>
              <w:top w:type="dxa" w:w="60"/>
              <w:left w:type="dxa" w:w="100"/>
              <w:bottom w:type="dxa" w:w="60"/>
              <w:right w:type="dxa" w:w="100"/>
            </w:tcMar>
          </w:tcPr>
          <w:p>
            <w:r>
              <w:rPr>
                <w:rFonts w:ascii="Arial" w:cs="Arial" w:eastAsia="Arial" w:hAnsi="Arial"/>
                <w:b/>
                <w:bCs/>
                <w:color w:val="FFFFFF"/>
                <w:sz w:val="18"/>
                <w:szCs w:val="18"/>
              </w:rPr>
              <w:t xml:space="preserve">Gulf Coast TX</w:t>
            </w:r>
          </w:p>
        </w:tc>
        <w:tc>
          <w:tcPr>
            <w:tcW w:type="dxa" w:w="1590"/>
            <w:tcBorders>
              <w:top w:val="single" w:color="CCCCCC" w:sz="1"/>
              <w:left w:val="single" w:color="CCCCCC" w:sz="1"/>
              <w:bottom w:val="single" w:color="CCCCCC" w:sz="1"/>
              <w:right w:val="single" w:color="CCCCCC" w:sz="1"/>
            </w:tcBorders>
            <w:shd w:fill="0A2540" w:val="clear"/>
            <w:tcMar>
              <w:top w:type="dxa" w:w="60"/>
              <w:left w:type="dxa" w:w="100"/>
              <w:bottom w:type="dxa" w:w="60"/>
              <w:right w:type="dxa" w:w="100"/>
            </w:tcMar>
          </w:tcPr>
          <w:p>
            <w:r>
              <w:rPr>
                <w:rFonts w:ascii="Arial" w:cs="Arial" w:eastAsia="Arial" w:hAnsi="Arial"/>
                <w:b/>
                <w:bCs/>
                <w:color w:val="FFFFFF"/>
                <w:sz w:val="18"/>
                <w:szCs w:val="18"/>
              </w:rPr>
              <w:t xml:space="preserve">North TX</w:t>
            </w:r>
          </w:p>
        </w:tc>
        <w:tc>
          <w:tcPr>
            <w:tcW w:type="dxa" w:w="1590"/>
            <w:tcBorders>
              <w:top w:val="single" w:color="CCCCCC" w:sz="1"/>
              <w:left w:val="single" w:color="CCCCCC" w:sz="1"/>
              <w:bottom w:val="single" w:color="CCCCCC" w:sz="1"/>
              <w:right w:val="single" w:color="CCCCCC" w:sz="1"/>
            </w:tcBorders>
            <w:shd w:fill="0A2540" w:val="clear"/>
            <w:tcMar>
              <w:top w:type="dxa" w:w="60"/>
              <w:left w:type="dxa" w:w="100"/>
              <w:bottom w:type="dxa" w:w="60"/>
              <w:right w:type="dxa" w:w="100"/>
            </w:tcMar>
          </w:tcPr>
          <w:p>
            <w:r>
              <w:rPr>
                <w:rFonts w:ascii="Arial" w:cs="Arial" w:eastAsia="Arial" w:hAnsi="Arial"/>
                <w:b/>
                <w:bCs/>
                <w:color w:val="FFFFFF"/>
                <w:sz w:val="18"/>
                <w:szCs w:val="18"/>
              </w:rPr>
              <w:t xml:space="preserve">Default</w:t>
            </w:r>
          </w:p>
        </w:tc>
      </w:tr>
      <w:tr>
        <w:tc>
          <w:tcPr>
            <w:tcW w:type="dxa" w:w="3000"/>
            <w:tcBorders>
              <w:top w:val="single" w:color="CCCCCC" w:sz="1"/>
              <w:left w:val="single" w:color="CCCCCC" w:sz="1"/>
              <w:bottom w:val="single" w:color="CCCCCC" w:sz="1"/>
              <w:right w:val="single" w:color="CCCCCC" w:sz="1"/>
            </w:tcBorders>
            <w:shd w:fill="F7F9FC" w:val="clear"/>
            <w:tcMar>
              <w:top w:type="dxa" w:w="60"/>
              <w:left w:type="dxa" w:w="100"/>
              <w:bottom w:type="dxa" w:w="60"/>
              <w:right w:type="dxa" w:w="100"/>
            </w:tcMar>
          </w:tcPr>
          <w:p>
            <w:r>
              <w:rPr>
                <w:rFonts w:ascii="Arial" w:cs="Arial" w:eastAsia="Arial" w:hAnsi="Arial"/>
                <w:b/>
                <w:bCs/>
                <w:color w:val="333333"/>
                <w:sz w:val="18"/>
                <w:szCs w:val="18"/>
              </w:rPr>
              <w:t xml:space="preserve">Rainfall (in/yr)</w:t>
            </w:r>
          </w:p>
        </w:tc>
        <w:tc>
          <w:tcPr>
            <w:tcW w:type="dxa" w:w="1590"/>
            <w:tcBorders>
              <w:top w:val="single" w:color="CCCCCC" w:sz="1"/>
              <w:left w:val="single" w:color="CCCCCC" w:sz="1"/>
              <w:bottom w:val="single" w:color="CCCCCC" w:sz="1"/>
              <w:right w:val="single" w:color="CCCCCC" w:sz="1"/>
            </w:tcBorders>
            <w:shd w:fill="F7F9FC" w:val="clear"/>
            <w:tcMar>
              <w:top w:type="dxa" w:w="60"/>
              <w:left w:type="dxa" w:w="100"/>
              <w:bottom w:type="dxa" w:w="60"/>
              <w:right w:type="dxa" w:w="100"/>
            </w:tcMar>
          </w:tcPr>
          <w:p>
            <w:r>
              <w:rPr>
                <w:rFonts w:ascii="Arial" w:cs="Arial" w:eastAsia="Arial" w:hAnsi="Arial"/>
                <w:b w:val="false"/>
                <w:bCs w:val="false"/>
                <w:color w:val="333333"/>
                <w:sz w:val="18"/>
                <w:szCs w:val="18"/>
              </w:rPr>
              <w:t xml:space="preserve">32</w:t>
            </w:r>
          </w:p>
        </w:tc>
        <w:tc>
          <w:tcPr>
            <w:tcW w:type="dxa" w:w="1590"/>
            <w:tcBorders>
              <w:top w:val="single" w:color="CCCCCC" w:sz="1"/>
              <w:left w:val="single" w:color="CCCCCC" w:sz="1"/>
              <w:bottom w:val="single" w:color="CCCCCC" w:sz="1"/>
              <w:right w:val="single" w:color="CCCCCC" w:sz="1"/>
            </w:tcBorders>
            <w:shd w:fill="F7F9FC" w:val="clear"/>
            <w:tcMar>
              <w:top w:type="dxa" w:w="60"/>
              <w:left w:type="dxa" w:w="100"/>
              <w:bottom w:type="dxa" w:w="60"/>
              <w:right w:type="dxa" w:w="100"/>
            </w:tcMar>
          </w:tcPr>
          <w:p>
            <w:r>
              <w:rPr>
                <w:rFonts w:ascii="Arial" w:cs="Arial" w:eastAsia="Arial" w:hAnsi="Arial"/>
                <w:b w:val="false"/>
                <w:bCs w:val="false"/>
                <w:color w:val="333333"/>
                <w:sz w:val="18"/>
                <w:szCs w:val="18"/>
              </w:rPr>
              <w:t xml:space="preserve">50</w:t>
            </w:r>
          </w:p>
        </w:tc>
        <w:tc>
          <w:tcPr>
            <w:tcW w:type="dxa" w:w="1590"/>
            <w:tcBorders>
              <w:top w:val="single" w:color="CCCCCC" w:sz="1"/>
              <w:left w:val="single" w:color="CCCCCC" w:sz="1"/>
              <w:bottom w:val="single" w:color="CCCCCC" w:sz="1"/>
              <w:right w:val="single" w:color="CCCCCC" w:sz="1"/>
            </w:tcBorders>
            <w:shd w:fill="F7F9FC" w:val="clear"/>
            <w:tcMar>
              <w:top w:type="dxa" w:w="60"/>
              <w:left w:type="dxa" w:w="100"/>
              <w:bottom w:type="dxa" w:w="60"/>
              <w:right w:type="dxa" w:w="100"/>
            </w:tcMar>
          </w:tcPr>
          <w:p>
            <w:r>
              <w:rPr>
                <w:rFonts w:ascii="Arial" w:cs="Arial" w:eastAsia="Arial" w:hAnsi="Arial"/>
                <w:b w:val="false"/>
                <w:bCs w:val="false"/>
                <w:color w:val="333333"/>
                <w:sz w:val="18"/>
                <w:szCs w:val="18"/>
              </w:rPr>
              <w:t xml:space="preserve">37</w:t>
            </w:r>
          </w:p>
        </w:tc>
        <w:tc>
          <w:tcPr>
            <w:tcW w:type="dxa" w:w="1590"/>
            <w:tcBorders>
              <w:top w:val="single" w:color="CCCCCC" w:sz="1"/>
              <w:left w:val="single" w:color="CCCCCC" w:sz="1"/>
              <w:bottom w:val="single" w:color="CCCCCC" w:sz="1"/>
              <w:right w:val="single" w:color="CCCCCC" w:sz="1"/>
            </w:tcBorders>
            <w:shd w:fill="F7F9FC" w:val="clear"/>
            <w:tcMar>
              <w:top w:type="dxa" w:w="60"/>
              <w:left w:type="dxa" w:w="100"/>
              <w:bottom w:type="dxa" w:w="60"/>
              <w:right w:type="dxa" w:w="100"/>
            </w:tcMar>
          </w:tcPr>
          <w:p>
            <w:r>
              <w:rPr>
                <w:rFonts w:ascii="Arial" w:cs="Arial" w:eastAsia="Arial" w:hAnsi="Arial"/>
                <w:b w:val="false"/>
                <w:bCs w:val="false"/>
                <w:color w:val="333333"/>
                <w:sz w:val="18"/>
                <w:szCs w:val="18"/>
              </w:rPr>
              <w:t xml:space="preserve">35</w:t>
            </w:r>
          </w:p>
        </w:tc>
      </w:tr>
      <w:tr>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333333"/>
                <w:sz w:val="18"/>
                <w:szCs w:val="18"/>
              </w:rPr>
              <w:t xml:space="preserve">Lawn Infiltration (in/hr)</w:t>
            </w:r>
          </w:p>
        </w:tc>
        <w:tc>
          <w:tcPr>
            <w:tcW w:type="dxa" w:w="159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18"/>
                <w:szCs w:val="18"/>
              </w:rPr>
              <w:t xml:space="preserve">0.5</w:t>
            </w:r>
          </w:p>
        </w:tc>
        <w:tc>
          <w:tcPr>
            <w:tcW w:type="dxa" w:w="159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18"/>
                <w:szCs w:val="18"/>
              </w:rPr>
              <w:t xml:space="preserve">0.5</w:t>
            </w:r>
          </w:p>
        </w:tc>
        <w:tc>
          <w:tcPr>
            <w:tcW w:type="dxa" w:w="159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18"/>
                <w:szCs w:val="18"/>
              </w:rPr>
              <w:t xml:space="preserve">0.5</w:t>
            </w:r>
          </w:p>
        </w:tc>
        <w:tc>
          <w:tcPr>
            <w:tcW w:type="dxa" w:w="159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18"/>
                <w:szCs w:val="18"/>
              </w:rPr>
              <w:t xml:space="preserve">0.5</w:t>
            </w:r>
          </w:p>
        </w:tc>
      </w:tr>
      <w:tr>
        <w:tc>
          <w:tcPr>
            <w:tcW w:type="dxa" w:w="3000"/>
            <w:tcBorders>
              <w:top w:val="single" w:color="CCCCCC" w:sz="1"/>
              <w:left w:val="single" w:color="CCCCCC" w:sz="1"/>
              <w:bottom w:val="single" w:color="CCCCCC" w:sz="1"/>
              <w:right w:val="single" w:color="CCCCCC" w:sz="1"/>
            </w:tcBorders>
            <w:shd w:fill="F7F9FC" w:val="clear"/>
            <w:tcMar>
              <w:top w:type="dxa" w:w="60"/>
              <w:left w:type="dxa" w:w="100"/>
              <w:bottom w:type="dxa" w:w="60"/>
              <w:right w:type="dxa" w:w="100"/>
            </w:tcMar>
          </w:tcPr>
          <w:p>
            <w:r>
              <w:rPr>
                <w:rFonts w:ascii="Arial" w:cs="Arial" w:eastAsia="Arial" w:hAnsi="Arial"/>
                <w:b/>
                <w:bCs/>
                <w:color w:val="333333"/>
                <w:sz w:val="18"/>
                <w:szCs w:val="18"/>
              </w:rPr>
              <w:t xml:space="preserve">Native Infiltration (in/hr)</w:t>
            </w:r>
          </w:p>
        </w:tc>
        <w:tc>
          <w:tcPr>
            <w:tcW w:type="dxa" w:w="1590"/>
            <w:tcBorders>
              <w:top w:val="single" w:color="CCCCCC" w:sz="1"/>
              <w:left w:val="single" w:color="CCCCCC" w:sz="1"/>
              <w:bottom w:val="single" w:color="CCCCCC" w:sz="1"/>
              <w:right w:val="single" w:color="CCCCCC" w:sz="1"/>
            </w:tcBorders>
            <w:shd w:fill="F7F9FC" w:val="clear"/>
            <w:tcMar>
              <w:top w:type="dxa" w:w="60"/>
              <w:left w:type="dxa" w:w="100"/>
              <w:bottom w:type="dxa" w:w="60"/>
              <w:right w:type="dxa" w:w="100"/>
            </w:tcMar>
          </w:tcPr>
          <w:p>
            <w:r>
              <w:rPr>
                <w:rFonts w:ascii="Arial" w:cs="Arial" w:eastAsia="Arial" w:hAnsi="Arial"/>
                <w:b w:val="false"/>
                <w:bCs w:val="false"/>
                <w:color w:val="333333"/>
                <w:sz w:val="18"/>
                <w:szCs w:val="18"/>
              </w:rPr>
              <w:t xml:space="preserve">9.0</w:t>
            </w:r>
          </w:p>
        </w:tc>
        <w:tc>
          <w:tcPr>
            <w:tcW w:type="dxa" w:w="1590"/>
            <w:tcBorders>
              <w:top w:val="single" w:color="CCCCCC" w:sz="1"/>
              <w:left w:val="single" w:color="CCCCCC" w:sz="1"/>
              <w:bottom w:val="single" w:color="CCCCCC" w:sz="1"/>
              <w:right w:val="single" w:color="CCCCCC" w:sz="1"/>
            </w:tcBorders>
            <w:shd w:fill="F7F9FC" w:val="clear"/>
            <w:tcMar>
              <w:top w:type="dxa" w:w="60"/>
              <w:left w:type="dxa" w:w="100"/>
              <w:bottom w:type="dxa" w:w="60"/>
              <w:right w:type="dxa" w:w="100"/>
            </w:tcMar>
          </w:tcPr>
          <w:p>
            <w:r>
              <w:rPr>
                <w:rFonts w:ascii="Arial" w:cs="Arial" w:eastAsia="Arial" w:hAnsi="Arial"/>
                <w:b w:val="false"/>
                <w:bCs w:val="false"/>
                <w:color w:val="333333"/>
                <w:sz w:val="18"/>
                <w:szCs w:val="18"/>
              </w:rPr>
              <w:t xml:space="preserve">8.0</w:t>
            </w:r>
          </w:p>
        </w:tc>
        <w:tc>
          <w:tcPr>
            <w:tcW w:type="dxa" w:w="1590"/>
            <w:tcBorders>
              <w:top w:val="single" w:color="CCCCCC" w:sz="1"/>
              <w:left w:val="single" w:color="CCCCCC" w:sz="1"/>
              <w:bottom w:val="single" w:color="CCCCCC" w:sz="1"/>
              <w:right w:val="single" w:color="CCCCCC" w:sz="1"/>
            </w:tcBorders>
            <w:shd w:fill="F7F9FC" w:val="clear"/>
            <w:tcMar>
              <w:top w:type="dxa" w:w="60"/>
              <w:left w:type="dxa" w:w="100"/>
              <w:bottom w:type="dxa" w:w="60"/>
              <w:right w:type="dxa" w:w="100"/>
            </w:tcMar>
          </w:tcPr>
          <w:p>
            <w:r>
              <w:rPr>
                <w:rFonts w:ascii="Arial" w:cs="Arial" w:eastAsia="Arial" w:hAnsi="Arial"/>
                <w:b w:val="false"/>
                <w:bCs w:val="false"/>
                <w:color w:val="333333"/>
                <w:sz w:val="18"/>
                <w:szCs w:val="18"/>
              </w:rPr>
              <w:t xml:space="preserve">7.5</w:t>
            </w:r>
          </w:p>
        </w:tc>
        <w:tc>
          <w:tcPr>
            <w:tcW w:type="dxa" w:w="1590"/>
            <w:tcBorders>
              <w:top w:val="single" w:color="CCCCCC" w:sz="1"/>
              <w:left w:val="single" w:color="CCCCCC" w:sz="1"/>
              <w:bottom w:val="single" w:color="CCCCCC" w:sz="1"/>
              <w:right w:val="single" w:color="CCCCCC" w:sz="1"/>
            </w:tcBorders>
            <w:shd w:fill="F7F9FC" w:val="clear"/>
            <w:tcMar>
              <w:top w:type="dxa" w:w="60"/>
              <w:left w:type="dxa" w:w="100"/>
              <w:bottom w:type="dxa" w:w="60"/>
              <w:right w:type="dxa" w:w="100"/>
            </w:tcMar>
          </w:tcPr>
          <w:p>
            <w:r>
              <w:rPr>
                <w:rFonts w:ascii="Arial" w:cs="Arial" w:eastAsia="Arial" w:hAnsi="Arial"/>
                <w:b w:val="false"/>
                <w:bCs w:val="false"/>
                <w:color w:val="333333"/>
                <w:sz w:val="18"/>
                <w:szCs w:val="18"/>
              </w:rPr>
              <w:t xml:space="preserve">8.0</w:t>
            </w:r>
          </w:p>
        </w:tc>
      </w:tr>
      <w:tr>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333333"/>
                <w:sz w:val="18"/>
                <w:szCs w:val="18"/>
              </w:rPr>
              <w:t xml:space="preserve">Water Capture Factor (gal/sqft/yr)</w:t>
            </w:r>
          </w:p>
        </w:tc>
        <w:tc>
          <w:tcPr>
            <w:tcW w:type="dxa" w:w="159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18"/>
                <w:szCs w:val="18"/>
              </w:rPr>
              <w:t xml:space="preserve">22.4</w:t>
            </w:r>
          </w:p>
        </w:tc>
        <w:tc>
          <w:tcPr>
            <w:tcW w:type="dxa" w:w="159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18"/>
                <w:szCs w:val="18"/>
              </w:rPr>
              <w:t xml:space="preserve">30.1</w:t>
            </w:r>
          </w:p>
        </w:tc>
        <w:tc>
          <w:tcPr>
            <w:tcW w:type="dxa" w:w="159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18"/>
                <w:szCs w:val="18"/>
              </w:rPr>
              <w:t xml:space="preserve">24.8</w:t>
            </w:r>
          </w:p>
        </w:tc>
        <w:tc>
          <w:tcPr>
            <w:tcW w:type="dxa" w:w="159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18"/>
                <w:szCs w:val="18"/>
              </w:rPr>
              <w:t xml:space="preserve">23.0</w:t>
            </w:r>
          </w:p>
        </w:tc>
      </w:tr>
      <w:tr>
        <w:tc>
          <w:tcPr>
            <w:tcW w:type="dxa" w:w="3000"/>
            <w:tcBorders>
              <w:top w:val="single" w:color="CCCCCC" w:sz="1"/>
              <w:left w:val="single" w:color="CCCCCC" w:sz="1"/>
              <w:bottom w:val="single" w:color="CCCCCC" w:sz="1"/>
              <w:right w:val="single" w:color="CCCCCC" w:sz="1"/>
            </w:tcBorders>
            <w:shd w:fill="F7F9FC" w:val="clear"/>
            <w:tcMar>
              <w:top w:type="dxa" w:w="60"/>
              <w:left w:type="dxa" w:w="100"/>
              <w:bottom w:type="dxa" w:w="60"/>
              <w:right w:type="dxa" w:w="100"/>
            </w:tcMar>
          </w:tcPr>
          <w:p>
            <w:r>
              <w:rPr>
                <w:rFonts w:ascii="Arial" w:cs="Arial" w:eastAsia="Arial" w:hAnsi="Arial"/>
                <w:b/>
                <w:bCs/>
                <w:color w:val="333333"/>
                <w:sz w:val="18"/>
                <w:szCs w:val="18"/>
              </w:rPr>
              <w:t xml:space="preserve">Water Banking Factor (gal/sqft)</w:t>
            </w:r>
          </w:p>
        </w:tc>
        <w:tc>
          <w:tcPr>
            <w:tcW w:type="dxa" w:w="1590"/>
            <w:tcBorders>
              <w:top w:val="single" w:color="CCCCCC" w:sz="1"/>
              <w:left w:val="single" w:color="CCCCCC" w:sz="1"/>
              <w:bottom w:val="single" w:color="CCCCCC" w:sz="1"/>
              <w:right w:val="single" w:color="CCCCCC" w:sz="1"/>
            </w:tcBorders>
            <w:shd w:fill="F7F9FC" w:val="clear"/>
            <w:tcMar>
              <w:top w:type="dxa" w:w="60"/>
              <w:left w:type="dxa" w:w="100"/>
              <w:bottom w:type="dxa" w:w="60"/>
              <w:right w:type="dxa" w:w="100"/>
            </w:tcMar>
          </w:tcPr>
          <w:p>
            <w:r>
              <w:rPr>
                <w:rFonts w:ascii="Arial" w:cs="Arial" w:eastAsia="Arial" w:hAnsi="Arial"/>
                <w:b w:val="false"/>
                <w:bCs w:val="false"/>
                <w:color w:val="333333"/>
                <w:sz w:val="18"/>
                <w:szCs w:val="18"/>
              </w:rPr>
              <w:t xml:space="preserve">14.0</w:t>
            </w:r>
          </w:p>
        </w:tc>
        <w:tc>
          <w:tcPr>
            <w:tcW w:type="dxa" w:w="1590"/>
            <w:tcBorders>
              <w:top w:val="single" w:color="CCCCCC" w:sz="1"/>
              <w:left w:val="single" w:color="CCCCCC" w:sz="1"/>
              <w:bottom w:val="single" w:color="CCCCCC" w:sz="1"/>
              <w:right w:val="single" w:color="CCCCCC" w:sz="1"/>
            </w:tcBorders>
            <w:shd w:fill="F7F9FC" w:val="clear"/>
            <w:tcMar>
              <w:top w:type="dxa" w:w="60"/>
              <w:left w:type="dxa" w:w="100"/>
              <w:bottom w:type="dxa" w:w="60"/>
              <w:right w:type="dxa" w:w="100"/>
            </w:tcMar>
          </w:tcPr>
          <w:p>
            <w:r>
              <w:rPr>
                <w:rFonts w:ascii="Arial" w:cs="Arial" w:eastAsia="Arial" w:hAnsi="Arial"/>
                <w:b w:val="false"/>
                <w:bCs w:val="false"/>
                <w:color w:val="333333"/>
                <w:sz w:val="18"/>
                <w:szCs w:val="18"/>
              </w:rPr>
              <w:t xml:space="preserve">12.5</w:t>
            </w:r>
          </w:p>
        </w:tc>
        <w:tc>
          <w:tcPr>
            <w:tcW w:type="dxa" w:w="1590"/>
            <w:tcBorders>
              <w:top w:val="single" w:color="CCCCCC" w:sz="1"/>
              <w:left w:val="single" w:color="CCCCCC" w:sz="1"/>
              <w:bottom w:val="single" w:color="CCCCCC" w:sz="1"/>
              <w:right w:val="single" w:color="CCCCCC" w:sz="1"/>
            </w:tcBorders>
            <w:shd w:fill="F7F9FC" w:val="clear"/>
            <w:tcMar>
              <w:top w:type="dxa" w:w="60"/>
              <w:left w:type="dxa" w:w="100"/>
              <w:bottom w:type="dxa" w:w="60"/>
              <w:right w:type="dxa" w:w="100"/>
            </w:tcMar>
          </w:tcPr>
          <w:p>
            <w:r>
              <w:rPr>
                <w:rFonts w:ascii="Arial" w:cs="Arial" w:eastAsia="Arial" w:hAnsi="Arial"/>
                <w:b w:val="false"/>
                <w:bCs w:val="false"/>
                <w:color w:val="333333"/>
                <w:sz w:val="18"/>
                <w:szCs w:val="18"/>
              </w:rPr>
              <w:t xml:space="preserve">11.0</w:t>
            </w:r>
          </w:p>
        </w:tc>
        <w:tc>
          <w:tcPr>
            <w:tcW w:type="dxa" w:w="1590"/>
            <w:tcBorders>
              <w:top w:val="single" w:color="CCCCCC" w:sz="1"/>
              <w:left w:val="single" w:color="CCCCCC" w:sz="1"/>
              <w:bottom w:val="single" w:color="CCCCCC" w:sz="1"/>
              <w:right w:val="single" w:color="CCCCCC" w:sz="1"/>
            </w:tcBorders>
            <w:shd w:fill="F7F9FC" w:val="clear"/>
            <w:tcMar>
              <w:top w:type="dxa" w:w="60"/>
              <w:left w:type="dxa" w:w="100"/>
              <w:bottom w:type="dxa" w:w="60"/>
              <w:right w:type="dxa" w:w="100"/>
            </w:tcMar>
          </w:tcPr>
          <w:p>
            <w:r>
              <w:rPr>
                <w:rFonts w:ascii="Arial" w:cs="Arial" w:eastAsia="Arial" w:hAnsi="Arial"/>
                <w:b w:val="false"/>
                <w:bCs w:val="false"/>
                <w:color w:val="333333"/>
                <w:sz w:val="18"/>
                <w:szCs w:val="18"/>
              </w:rPr>
              <w:t xml:space="preserve">12.0</w:t>
            </w:r>
          </w:p>
        </w:tc>
      </w:tr>
      <w:tr>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333333"/>
                <w:sz w:val="18"/>
                <w:szCs w:val="18"/>
              </w:rPr>
              <w:t xml:space="preserve">Lawn Irrigation (gal/sqft/yr)</w:t>
            </w:r>
          </w:p>
        </w:tc>
        <w:tc>
          <w:tcPr>
            <w:tcW w:type="dxa" w:w="159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18"/>
                <w:szCs w:val="18"/>
              </w:rPr>
              <w:t xml:space="preserve">25</w:t>
            </w:r>
          </w:p>
        </w:tc>
        <w:tc>
          <w:tcPr>
            <w:tcW w:type="dxa" w:w="159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18"/>
                <w:szCs w:val="18"/>
              </w:rPr>
              <w:t xml:space="preserve">20</w:t>
            </w:r>
          </w:p>
        </w:tc>
        <w:tc>
          <w:tcPr>
            <w:tcW w:type="dxa" w:w="159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18"/>
                <w:szCs w:val="18"/>
              </w:rPr>
              <w:t xml:space="preserve">22</w:t>
            </w:r>
          </w:p>
        </w:tc>
        <w:tc>
          <w:tcPr>
            <w:tcW w:type="dxa" w:w="159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18"/>
                <w:szCs w:val="18"/>
              </w:rPr>
              <w:t xml:space="preserve">22</w:t>
            </w:r>
          </w:p>
        </w:tc>
      </w:tr>
      <w:tr>
        <w:tc>
          <w:tcPr>
            <w:tcW w:type="dxa" w:w="3000"/>
            <w:tcBorders>
              <w:top w:val="single" w:color="CCCCCC" w:sz="1"/>
              <w:left w:val="single" w:color="CCCCCC" w:sz="1"/>
              <w:bottom w:val="single" w:color="CCCCCC" w:sz="1"/>
              <w:right w:val="single" w:color="CCCCCC" w:sz="1"/>
            </w:tcBorders>
            <w:shd w:fill="F7F9FC" w:val="clear"/>
            <w:tcMar>
              <w:top w:type="dxa" w:w="60"/>
              <w:left w:type="dxa" w:w="100"/>
              <w:bottom w:type="dxa" w:w="60"/>
              <w:right w:type="dxa" w:w="100"/>
            </w:tcMar>
          </w:tcPr>
          <w:p>
            <w:r>
              <w:rPr>
                <w:rFonts w:ascii="Arial" w:cs="Arial" w:eastAsia="Arial" w:hAnsi="Arial"/>
                <w:b/>
                <w:bCs/>
                <w:color w:val="333333"/>
                <w:sz w:val="18"/>
                <w:szCs w:val="18"/>
              </w:rPr>
              <w:t xml:space="preserve">Native Irrigation (gal/sqft/yr)</w:t>
            </w:r>
          </w:p>
        </w:tc>
        <w:tc>
          <w:tcPr>
            <w:tcW w:type="dxa" w:w="1590"/>
            <w:tcBorders>
              <w:top w:val="single" w:color="CCCCCC" w:sz="1"/>
              <w:left w:val="single" w:color="CCCCCC" w:sz="1"/>
              <w:bottom w:val="single" w:color="CCCCCC" w:sz="1"/>
              <w:right w:val="single" w:color="CCCCCC" w:sz="1"/>
            </w:tcBorders>
            <w:shd w:fill="F7F9FC" w:val="clear"/>
            <w:tcMar>
              <w:top w:type="dxa" w:w="60"/>
              <w:left w:type="dxa" w:w="100"/>
              <w:bottom w:type="dxa" w:w="60"/>
              <w:right w:type="dxa" w:w="100"/>
            </w:tcMar>
          </w:tcPr>
          <w:p>
            <w:r>
              <w:rPr>
                <w:rFonts w:ascii="Arial" w:cs="Arial" w:eastAsia="Arial" w:hAnsi="Arial"/>
                <w:b w:val="false"/>
                <w:bCs w:val="false"/>
                <w:color w:val="333333"/>
                <w:sz w:val="18"/>
                <w:szCs w:val="18"/>
              </w:rPr>
              <w:t xml:space="preserve">1</w:t>
            </w:r>
          </w:p>
        </w:tc>
        <w:tc>
          <w:tcPr>
            <w:tcW w:type="dxa" w:w="1590"/>
            <w:tcBorders>
              <w:top w:val="single" w:color="CCCCCC" w:sz="1"/>
              <w:left w:val="single" w:color="CCCCCC" w:sz="1"/>
              <w:bottom w:val="single" w:color="CCCCCC" w:sz="1"/>
              <w:right w:val="single" w:color="CCCCCC" w:sz="1"/>
            </w:tcBorders>
            <w:shd w:fill="F7F9FC" w:val="clear"/>
            <w:tcMar>
              <w:top w:type="dxa" w:w="60"/>
              <w:left w:type="dxa" w:w="100"/>
              <w:bottom w:type="dxa" w:w="60"/>
              <w:right w:type="dxa" w:w="100"/>
            </w:tcMar>
          </w:tcPr>
          <w:p>
            <w:r>
              <w:rPr>
                <w:rFonts w:ascii="Arial" w:cs="Arial" w:eastAsia="Arial" w:hAnsi="Arial"/>
                <w:b w:val="false"/>
                <w:bCs w:val="false"/>
                <w:color w:val="333333"/>
                <w:sz w:val="18"/>
                <w:szCs w:val="18"/>
              </w:rPr>
              <w:t xml:space="preserve">1</w:t>
            </w:r>
          </w:p>
        </w:tc>
        <w:tc>
          <w:tcPr>
            <w:tcW w:type="dxa" w:w="1590"/>
            <w:tcBorders>
              <w:top w:val="single" w:color="CCCCCC" w:sz="1"/>
              <w:left w:val="single" w:color="CCCCCC" w:sz="1"/>
              <w:bottom w:val="single" w:color="CCCCCC" w:sz="1"/>
              <w:right w:val="single" w:color="CCCCCC" w:sz="1"/>
            </w:tcBorders>
            <w:shd w:fill="F7F9FC" w:val="clear"/>
            <w:tcMar>
              <w:top w:type="dxa" w:w="60"/>
              <w:left w:type="dxa" w:w="100"/>
              <w:bottom w:type="dxa" w:w="60"/>
              <w:right w:type="dxa" w:w="100"/>
            </w:tcMar>
          </w:tcPr>
          <w:p>
            <w:r>
              <w:rPr>
                <w:rFonts w:ascii="Arial" w:cs="Arial" w:eastAsia="Arial" w:hAnsi="Arial"/>
                <w:b w:val="false"/>
                <w:bCs w:val="false"/>
                <w:color w:val="333333"/>
                <w:sz w:val="18"/>
                <w:szCs w:val="18"/>
              </w:rPr>
              <w:t xml:space="preserve">2</w:t>
            </w:r>
          </w:p>
        </w:tc>
        <w:tc>
          <w:tcPr>
            <w:tcW w:type="dxa" w:w="1590"/>
            <w:tcBorders>
              <w:top w:val="single" w:color="CCCCCC" w:sz="1"/>
              <w:left w:val="single" w:color="CCCCCC" w:sz="1"/>
              <w:bottom w:val="single" w:color="CCCCCC" w:sz="1"/>
              <w:right w:val="single" w:color="CCCCCC" w:sz="1"/>
            </w:tcBorders>
            <w:shd w:fill="F7F9FC" w:val="clear"/>
            <w:tcMar>
              <w:top w:type="dxa" w:w="60"/>
              <w:left w:type="dxa" w:w="100"/>
              <w:bottom w:type="dxa" w:w="60"/>
              <w:right w:type="dxa" w:w="100"/>
            </w:tcMar>
          </w:tcPr>
          <w:p>
            <w:r>
              <w:rPr>
                <w:rFonts w:ascii="Arial" w:cs="Arial" w:eastAsia="Arial" w:hAnsi="Arial"/>
                <w:b w:val="false"/>
                <w:bCs w:val="false"/>
                <w:color w:val="333333"/>
                <w:sz w:val="18"/>
                <w:szCs w:val="18"/>
              </w:rPr>
              <w:t xml:space="preserve">1</w:t>
            </w:r>
          </w:p>
        </w:tc>
      </w:tr>
      <w:tr>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333333"/>
                <w:sz w:val="18"/>
                <w:szCs w:val="18"/>
              </w:rPr>
              <w:t xml:space="preserve">Cooling Degree Days</w:t>
            </w:r>
          </w:p>
        </w:tc>
        <w:tc>
          <w:tcPr>
            <w:tcW w:type="dxa" w:w="159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18"/>
                <w:szCs w:val="18"/>
              </w:rPr>
              <w:t xml:space="preserve">2,800</w:t>
            </w:r>
          </w:p>
        </w:tc>
        <w:tc>
          <w:tcPr>
            <w:tcW w:type="dxa" w:w="159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18"/>
                <w:szCs w:val="18"/>
              </w:rPr>
              <w:t xml:space="preserve">2,400</w:t>
            </w:r>
          </w:p>
        </w:tc>
        <w:tc>
          <w:tcPr>
            <w:tcW w:type="dxa" w:w="159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18"/>
                <w:szCs w:val="18"/>
              </w:rPr>
              <w:t xml:space="preserve">2,500</w:t>
            </w:r>
          </w:p>
        </w:tc>
        <w:tc>
          <w:tcPr>
            <w:tcW w:type="dxa" w:w="159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18"/>
                <w:szCs w:val="18"/>
              </w:rPr>
              <w:t xml:space="preserve">2,600</w:t>
            </w:r>
          </w:p>
        </w:tc>
      </w:tr>
      <w:tr>
        <w:tc>
          <w:tcPr>
            <w:tcW w:type="dxa" w:w="3000"/>
            <w:tcBorders>
              <w:top w:val="single" w:color="CCCCCC" w:sz="1"/>
              <w:left w:val="single" w:color="CCCCCC" w:sz="1"/>
              <w:bottom w:val="single" w:color="CCCCCC" w:sz="1"/>
              <w:right w:val="single" w:color="CCCCCC" w:sz="1"/>
            </w:tcBorders>
            <w:shd w:fill="F7F9FC" w:val="clear"/>
            <w:tcMar>
              <w:top w:type="dxa" w:w="60"/>
              <w:left w:type="dxa" w:w="100"/>
              <w:bottom w:type="dxa" w:w="60"/>
              <w:right w:type="dxa" w:w="100"/>
            </w:tcMar>
          </w:tcPr>
          <w:p>
            <w:r>
              <w:rPr>
                <w:rFonts w:ascii="Arial" w:cs="Arial" w:eastAsia="Arial" w:hAnsi="Arial"/>
                <w:b/>
                <w:bCs/>
                <w:color w:val="333333"/>
                <w:sz w:val="18"/>
                <w:szCs w:val="18"/>
              </w:rPr>
              <w:t xml:space="preserve">Mowing Sessions/yr</w:t>
            </w:r>
          </w:p>
        </w:tc>
        <w:tc>
          <w:tcPr>
            <w:tcW w:type="dxa" w:w="1590"/>
            <w:tcBorders>
              <w:top w:val="single" w:color="CCCCCC" w:sz="1"/>
              <w:left w:val="single" w:color="CCCCCC" w:sz="1"/>
              <w:bottom w:val="single" w:color="CCCCCC" w:sz="1"/>
              <w:right w:val="single" w:color="CCCCCC" w:sz="1"/>
            </w:tcBorders>
            <w:shd w:fill="F7F9FC" w:val="clear"/>
            <w:tcMar>
              <w:top w:type="dxa" w:w="60"/>
              <w:left w:type="dxa" w:w="100"/>
              <w:bottom w:type="dxa" w:w="60"/>
              <w:right w:type="dxa" w:w="100"/>
            </w:tcMar>
          </w:tcPr>
          <w:p>
            <w:r>
              <w:rPr>
                <w:rFonts w:ascii="Arial" w:cs="Arial" w:eastAsia="Arial" w:hAnsi="Arial"/>
                <w:b w:val="false"/>
                <w:bCs w:val="false"/>
                <w:color w:val="333333"/>
                <w:sz w:val="18"/>
                <w:szCs w:val="18"/>
              </w:rPr>
              <w:t xml:space="preserve">18</w:t>
            </w:r>
          </w:p>
        </w:tc>
        <w:tc>
          <w:tcPr>
            <w:tcW w:type="dxa" w:w="1590"/>
            <w:tcBorders>
              <w:top w:val="single" w:color="CCCCCC" w:sz="1"/>
              <w:left w:val="single" w:color="CCCCCC" w:sz="1"/>
              <w:bottom w:val="single" w:color="CCCCCC" w:sz="1"/>
              <w:right w:val="single" w:color="CCCCCC" w:sz="1"/>
            </w:tcBorders>
            <w:shd w:fill="F7F9FC" w:val="clear"/>
            <w:tcMar>
              <w:top w:type="dxa" w:w="60"/>
              <w:left w:type="dxa" w:w="100"/>
              <w:bottom w:type="dxa" w:w="60"/>
              <w:right w:type="dxa" w:w="100"/>
            </w:tcMar>
          </w:tcPr>
          <w:p>
            <w:r>
              <w:rPr>
                <w:rFonts w:ascii="Arial" w:cs="Arial" w:eastAsia="Arial" w:hAnsi="Arial"/>
                <w:b w:val="false"/>
                <w:bCs w:val="false"/>
                <w:color w:val="333333"/>
                <w:sz w:val="18"/>
                <w:szCs w:val="18"/>
              </w:rPr>
              <w:t xml:space="preserve">22</w:t>
            </w:r>
          </w:p>
        </w:tc>
        <w:tc>
          <w:tcPr>
            <w:tcW w:type="dxa" w:w="1590"/>
            <w:tcBorders>
              <w:top w:val="single" w:color="CCCCCC" w:sz="1"/>
              <w:left w:val="single" w:color="CCCCCC" w:sz="1"/>
              <w:bottom w:val="single" w:color="CCCCCC" w:sz="1"/>
              <w:right w:val="single" w:color="CCCCCC" w:sz="1"/>
            </w:tcBorders>
            <w:shd w:fill="F7F9FC" w:val="clear"/>
            <w:tcMar>
              <w:top w:type="dxa" w:w="60"/>
              <w:left w:type="dxa" w:w="100"/>
              <w:bottom w:type="dxa" w:w="60"/>
              <w:right w:type="dxa" w:w="100"/>
            </w:tcMar>
          </w:tcPr>
          <w:p>
            <w:r>
              <w:rPr>
                <w:rFonts w:ascii="Arial" w:cs="Arial" w:eastAsia="Arial" w:hAnsi="Arial"/>
                <w:b w:val="false"/>
                <w:bCs w:val="false"/>
                <w:color w:val="333333"/>
                <w:sz w:val="18"/>
                <w:szCs w:val="18"/>
              </w:rPr>
              <w:t xml:space="preserve">16</w:t>
            </w:r>
          </w:p>
        </w:tc>
        <w:tc>
          <w:tcPr>
            <w:tcW w:type="dxa" w:w="1590"/>
            <w:tcBorders>
              <w:top w:val="single" w:color="CCCCCC" w:sz="1"/>
              <w:left w:val="single" w:color="CCCCCC" w:sz="1"/>
              <w:bottom w:val="single" w:color="CCCCCC" w:sz="1"/>
              <w:right w:val="single" w:color="CCCCCC" w:sz="1"/>
            </w:tcBorders>
            <w:shd w:fill="F7F9FC" w:val="clear"/>
            <w:tcMar>
              <w:top w:type="dxa" w:w="60"/>
              <w:left w:type="dxa" w:w="100"/>
              <w:bottom w:type="dxa" w:w="60"/>
              <w:right w:type="dxa" w:w="100"/>
            </w:tcMar>
          </w:tcPr>
          <w:p>
            <w:r>
              <w:rPr>
                <w:rFonts w:ascii="Arial" w:cs="Arial" w:eastAsia="Arial" w:hAnsi="Arial"/>
                <w:b w:val="false"/>
                <w:bCs w:val="false"/>
                <w:color w:val="333333"/>
                <w:sz w:val="18"/>
                <w:szCs w:val="18"/>
              </w:rPr>
              <w:t xml:space="preserve">18</w:t>
            </w:r>
          </w:p>
        </w:tc>
      </w:tr>
      <w:tr>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333333"/>
                <w:sz w:val="18"/>
                <w:szCs w:val="18"/>
              </w:rPr>
              <w:t xml:space="preserve">Prairie CO2 (lbs/sqft/yr)</w:t>
            </w:r>
          </w:p>
        </w:tc>
        <w:tc>
          <w:tcPr>
            <w:tcW w:type="dxa" w:w="159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18"/>
                <w:szCs w:val="18"/>
              </w:rPr>
              <w:t xml:space="preserve">0.30</w:t>
            </w:r>
          </w:p>
        </w:tc>
        <w:tc>
          <w:tcPr>
            <w:tcW w:type="dxa" w:w="159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18"/>
                <w:szCs w:val="18"/>
              </w:rPr>
              <w:t xml:space="preserve">0.35</w:t>
            </w:r>
          </w:p>
        </w:tc>
        <w:tc>
          <w:tcPr>
            <w:tcW w:type="dxa" w:w="159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18"/>
                <w:szCs w:val="18"/>
              </w:rPr>
              <w:t xml:space="preserve">0.25</w:t>
            </w:r>
          </w:p>
        </w:tc>
        <w:tc>
          <w:tcPr>
            <w:tcW w:type="dxa" w:w="159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18"/>
                <w:szCs w:val="18"/>
              </w:rPr>
              <w:t xml:space="preserve">0.28</w:t>
            </w:r>
          </w:p>
        </w:tc>
      </w:tr>
      <w:tr>
        <w:tc>
          <w:tcPr>
            <w:tcW w:type="dxa" w:w="3000"/>
            <w:tcBorders>
              <w:top w:val="single" w:color="CCCCCC" w:sz="1"/>
              <w:left w:val="single" w:color="CCCCCC" w:sz="1"/>
              <w:bottom w:val="single" w:color="CCCCCC" w:sz="1"/>
              <w:right w:val="single" w:color="CCCCCC" w:sz="1"/>
            </w:tcBorders>
            <w:shd w:fill="F7F9FC" w:val="clear"/>
            <w:tcMar>
              <w:top w:type="dxa" w:w="60"/>
              <w:left w:type="dxa" w:w="100"/>
              <w:bottom w:type="dxa" w:w="60"/>
              <w:right w:type="dxa" w:w="100"/>
            </w:tcMar>
          </w:tcPr>
          <w:p>
            <w:r>
              <w:rPr>
                <w:rFonts w:ascii="Arial" w:cs="Arial" w:eastAsia="Arial" w:hAnsi="Arial"/>
                <w:b/>
                <w:bCs/>
                <w:color w:val="333333"/>
                <w:sz w:val="18"/>
                <w:szCs w:val="18"/>
              </w:rPr>
              <w:t xml:space="preserve">Tree CO2 (lbs/tree/yr)</w:t>
            </w:r>
          </w:p>
        </w:tc>
        <w:tc>
          <w:tcPr>
            <w:tcW w:type="dxa" w:w="1590"/>
            <w:tcBorders>
              <w:top w:val="single" w:color="CCCCCC" w:sz="1"/>
              <w:left w:val="single" w:color="CCCCCC" w:sz="1"/>
              <w:bottom w:val="single" w:color="CCCCCC" w:sz="1"/>
              <w:right w:val="single" w:color="CCCCCC" w:sz="1"/>
            </w:tcBorders>
            <w:shd w:fill="F7F9FC" w:val="clear"/>
            <w:tcMar>
              <w:top w:type="dxa" w:w="60"/>
              <w:left w:type="dxa" w:w="100"/>
              <w:bottom w:type="dxa" w:w="60"/>
              <w:right w:type="dxa" w:w="100"/>
            </w:tcMar>
          </w:tcPr>
          <w:p>
            <w:r>
              <w:rPr>
                <w:rFonts w:ascii="Arial" w:cs="Arial" w:eastAsia="Arial" w:hAnsi="Arial"/>
                <w:b w:val="false"/>
                <w:bCs w:val="false"/>
                <w:color w:val="333333"/>
                <w:sz w:val="18"/>
                <w:szCs w:val="18"/>
              </w:rPr>
              <w:t xml:space="preserve">25</w:t>
            </w:r>
          </w:p>
        </w:tc>
        <w:tc>
          <w:tcPr>
            <w:tcW w:type="dxa" w:w="1590"/>
            <w:tcBorders>
              <w:top w:val="single" w:color="CCCCCC" w:sz="1"/>
              <w:left w:val="single" w:color="CCCCCC" w:sz="1"/>
              <w:bottom w:val="single" w:color="CCCCCC" w:sz="1"/>
              <w:right w:val="single" w:color="CCCCCC" w:sz="1"/>
            </w:tcBorders>
            <w:shd w:fill="F7F9FC" w:val="clear"/>
            <w:tcMar>
              <w:top w:type="dxa" w:w="60"/>
              <w:left w:type="dxa" w:w="100"/>
              <w:bottom w:type="dxa" w:w="60"/>
              <w:right w:type="dxa" w:w="100"/>
            </w:tcMar>
          </w:tcPr>
          <w:p>
            <w:r>
              <w:rPr>
                <w:rFonts w:ascii="Arial" w:cs="Arial" w:eastAsia="Arial" w:hAnsi="Arial"/>
                <w:b w:val="false"/>
                <w:bCs w:val="false"/>
                <w:color w:val="333333"/>
                <w:sz w:val="18"/>
                <w:szCs w:val="18"/>
              </w:rPr>
              <w:t xml:space="preserve">28</w:t>
            </w:r>
          </w:p>
        </w:tc>
        <w:tc>
          <w:tcPr>
            <w:tcW w:type="dxa" w:w="1590"/>
            <w:tcBorders>
              <w:top w:val="single" w:color="CCCCCC" w:sz="1"/>
              <w:left w:val="single" w:color="CCCCCC" w:sz="1"/>
              <w:bottom w:val="single" w:color="CCCCCC" w:sz="1"/>
              <w:right w:val="single" w:color="CCCCCC" w:sz="1"/>
            </w:tcBorders>
            <w:shd w:fill="F7F9FC" w:val="clear"/>
            <w:tcMar>
              <w:top w:type="dxa" w:w="60"/>
              <w:left w:type="dxa" w:w="100"/>
              <w:bottom w:type="dxa" w:w="60"/>
              <w:right w:type="dxa" w:w="100"/>
            </w:tcMar>
          </w:tcPr>
          <w:p>
            <w:r>
              <w:rPr>
                <w:rFonts w:ascii="Arial" w:cs="Arial" w:eastAsia="Arial" w:hAnsi="Arial"/>
                <w:b w:val="false"/>
                <w:bCs w:val="false"/>
                <w:color w:val="333333"/>
                <w:sz w:val="18"/>
                <w:szCs w:val="18"/>
              </w:rPr>
              <w:t xml:space="preserve">22</w:t>
            </w:r>
          </w:p>
        </w:tc>
        <w:tc>
          <w:tcPr>
            <w:tcW w:type="dxa" w:w="1590"/>
            <w:tcBorders>
              <w:top w:val="single" w:color="CCCCCC" w:sz="1"/>
              <w:left w:val="single" w:color="CCCCCC" w:sz="1"/>
              <w:bottom w:val="single" w:color="CCCCCC" w:sz="1"/>
              <w:right w:val="single" w:color="CCCCCC" w:sz="1"/>
            </w:tcBorders>
            <w:shd w:fill="F7F9FC" w:val="clear"/>
            <w:tcMar>
              <w:top w:type="dxa" w:w="60"/>
              <w:left w:type="dxa" w:w="100"/>
              <w:bottom w:type="dxa" w:w="60"/>
              <w:right w:type="dxa" w:w="100"/>
            </w:tcMar>
          </w:tcPr>
          <w:p>
            <w:r>
              <w:rPr>
                <w:rFonts w:ascii="Arial" w:cs="Arial" w:eastAsia="Arial" w:hAnsi="Arial"/>
                <w:b w:val="false"/>
                <w:bCs w:val="false"/>
                <w:color w:val="333333"/>
                <w:sz w:val="18"/>
                <w:szCs w:val="18"/>
              </w:rPr>
              <w:t xml:space="preserve">25</w:t>
            </w:r>
          </w:p>
        </w:tc>
      </w:tr>
      <w:tr>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333333"/>
                <w:sz w:val="18"/>
                <w:szCs w:val="18"/>
              </w:rPr>
              <w:t xml:space="preserve">Lawn Cost ($/1000sqft/yr)</w:t>
            </w:r>
          </w:p>
        </w:tc>
        <w:tc>
          <w:tcPr>
            <w:tcW w:type="dxa" w:w="159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18"/>
                <w:szCs w:val="18"/>
              </w:rPr>
              <w:t xml:space="preserve">$2,500</w:t>
            </w:r>
          </w:p>
        </w:tc>
        <w:tc>
          <w:tcPr>
            <w:tcW w:type="dxa" w:w="159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18"/>
                <w:szCs w:val="18"/>
              </w:rPr>
              <w:t xml:space="preserve">$2,800</w:t>
            </w:r>
          </w:p>
        </w:tc>
        <w:tc>
          <w:tcPr>
            <w:tcW w:type="dxa" w:w="159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18"/>
                <w:szCs w:val="18"/>
              </w:rPr>
              <w:t xml:space="preserve">$2,300</w:t>
            </w:r>
          </w:p>
        </w:tc>
        <w:tc>
          <w:tcPr>
            <w:tcW w:type="dxa" w:w="159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18"/>
                <w:szCs w:val="18"/>
              </w:rPr>
              <w:t xml:space="preserve">$2,500</w:t>
            </w:r>
          </w:p>
        </w:tc>
      </w:tr>
      <w:tr>
        <w:tc>
          <w:tcPr>
            <w:tcW w:type="dxa" w:w="3000"/>
            <w:tcBorders>
              <w:top w:val="single" w:color="CCCCCC" w:sz="1"/>
              <w:left w:val="single" w:color="CCCCCC" w:sz="1"/>
              <w:bottom w:val="single" w:color="CCCCCC" w:sz="1"/>
              <w:right w:val="single" w:color="CCCCCC" w:sz="1"/>
            </w:tcBorders>
            <w:shd w:fill="F7F9FC" w:val="clear"/>
            <w:tcMar>
              <w:top w:type="dxa" w:w="60"/>
              <w:left w:type="dxa" w:w="100"/>
              <w:bottom w:type="dxa" w:w="60"/>
              <w:right w:type="dxa" w:w="100"/>
            </w:tcMar>
          </w:tcPr>
          <w:p>
            <w:r>
              <w:rPr>
                <w:rFonts w:ascii="Arial" w:cs="Arial" w:eastAsia="Arial" w:hAnsi="Arial"/>
                <w:b/>
                <w:bCs/>
                <w:color w:val="333333"/>
                <w:sz w:val="18"/>
                <w:szCs w:val="18"/>
              </w:rPr>
              <w:t xml:space="preserve">Native Cost ($/1000sqft/yr)</w:t>
            </w:r>
          </w:p>
        </w:tc>
        <w:tc>
          <w:tcPr>
            <w:tcW w:type="dxa" w:w="1590"/>
            <w:tcBorders>
              <w:top w:val="single" w:color="CCCCCC" w:sz="1"/>
              <w:left w:val="single" w:color="CCCCCC" w:sz="1"/>
              <w:bottom w:val="single" w:color="CCCCCC" w:sz="1"/>
              <w:right w:val="single" w:color="CCCCCC" w:sz="1"/>
            </w:tcBorders>
            <w:shd w:fill="F7F9FC" w:val="clear"/>
            <w:tcMar>
              <w:top w:type="dxa" w:w="60"/>
              <w:left w:type="dxa" w:w="100"/>
              <w:bottom w:type="dxa" w:w="60"/>
              <w:right w:type="dxa" w:w="100"/>
            </w:tcMar>
          </w:tcPr>
          <w:p>
            <w:r>
              <w:rPr>
                <w:rFonts w:ascii="Arial" w:cs="Arial" w:eastAsia="Arial" w:hAnsi="Arial"/>
                <w:b w:val="false"/>
                <w:bCs w:val="false"/>
                <w:color w:val="333333"/>
                <w:sz w:val="18"/>
                <w:szCs w:val="18"/>
              </w:rPr>
              <w:t xml:space="preserve">$400</w:t>
            </w:r>
          </w:p>
        </w:tc>
        <w:tc>
          <w:tcPr>
            <w:tcW w:type="dxa" w:w="1590"/>
            <w:tcBorders>
              <w:top w:val="single" w:color="CCCCCC" w:sz="1"/>
              <w:left w:val="single" w:color="CCCCCC" w:sz="1"/>
              <w:bottom w:val="single" w:color="CCCCCC" w:sz="1"/>
              <w:right w:val="single" w:color="CCCCCC" w:sz="1"/>
            </w:tcBorders>
            <w:shd w:fill="F7F9FC" w:val="clear"/>
            <w:tcMar>
              <w:top w:type="dxa" w:w="60"/>
              <w:left w:type="dxa" w:w="100"/>
              <w:bottom w:type="dxa" w:w="60"/>
              <w:right w:type="dxa" w:w="100"/>
            </w:tcMar>
          </w:tcPr>
          <w:p>
            <w:r>
              <w:rPr>
                <w:rFonts w:ascii="Arial" w:cs="Arial" w:eastAsia="Arial" w:hAnsi="Arial"/>
                <w:b w:val="false"/>
                <w:bCs w:val="false"/>
                <w:color w:val="333333"/>
                <w:sz w:val="18"/>
                <w:szCs w:val="18"/>
              </w:rPr>
              <w:t xml:space="preserve">$450</w:t>
            </w:r>
          </w:p>
        </w:tc>
        <w:tc>
          <w:tcPr>
            <w:tcW w:type="dxa" w:w="1590"/>
            <w:tcBorders>
              <w:top w:val="single" w:color="CCCCCC" w:sz="1"/>
              <w:left w:val="single" w:color="CCCCCC" w:sz="1"/>
              <w:bottom w:val="single" w:color="CCCCCC" w:sz="1"/>
              <w:right w:val="single" w:color="CCCCCC" w:sz="1"/>
            </w:tcBorders>
            <w:shd w:fill="F7F9FC" w:val="clear"/>
            <w:tcMar>
              <w:top w:type="dxa" w:w="60"/>
              <w:left w:type="dxa" w:w="100"/>
              <w:bottom w:type="dxa" w:w="60"/>
              <w:right w:type="dxa" w:w="100"/>
            </w:tcMar>
          </w:tcPr>
          <w:p>
            <w:r>
              <w:rPr>
                <w:rFonts w:ascii="Arial" w:cs="Arial" w:eastAsia="Arial" w:hAnsi="Arial"/>
                <w:b w:val="false"/>
                <w:bCs w:val="false"/>
                <w:color w:val="333333"/>
                <w:sz w:val="18"/>
                <w:szCs w:val="18"/>
              </w:rPr>
              <w:t xml:space="preserve">$380</w:t>
            </w:r>
          </w:p>
        </w:tc>
        <w:tc>
          <w:tcPr>
            <w:tcW w:type="dxa" w:w="1590"/>
            <w:tcBorders>
              <w:top w:val="single" w:color="CCCCCC" w:sz="1"/>
              <w:left w:val="single" w:color="CCCCCC" w:sz="1"/>
              <w:bottom w:val="single" w:color="CCCCCC" w:sz="1"/>
              <w:right w:val="single" w:color="CCCCCC" w:sz="1"/>
            </w:tcBorders>
            <w:shd w:fill="F7F9FC" w:val="clear"/>
            <w:tcMar>
              <w:top w:type="dxa" w:w="60"/>
              <w:left w:type="dxa" w:w="100"/>
              <w:bottom w:type="dxa" w:w="60"/>
              <w:right w:type="dxa" w:w="100"/>
            </w:tcMar>
          </w:tcPr>
          <w:p>
            <w:r>
              <w:rPr>
                <w:rFonts w:ascii="Arial" w:cs="Arial" w:eastAsia="Arial" w:hAnsi="Arial"/>
                <w:b w:val="false"/>
                <w:bCs w:val="false"/>
                <w:color w:val="333333"/>
                <w:sz w:val="18"/>
                <w:szCs w:val="18"/>
              </w:rPr>
              <w:t xml:space="preserve">$400</w:t>
            </w:r>
          </w:p>
        </w:tc>
      </w:tr>
      <w:tr>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333333"/>
                <w:sz w:val="18"/>
                <w:szCs w:val="18"/>
              </w:rPr>
              <w:t xml:space="preserve">Reference Species Count</w:t>
            </w:r>
          </w:p>
        </w:tc>
        <w:tc>
          <w:tcPr>
            <w:tcW w:type="dxa" w:w="159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18"/>
                <w:szCs w:val="18"/>
              </w:rPr>
              <w:t xml:space="preserve">120</w:t>
            </w:r>
          </w:p>
        </w:tc>
        <w:tc>
          <w:tcPr>
            <w:tcW w:type="dxa" w:w="159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18"/>
                <w:szCs w:val="18"/>
              </w:rPr>
              <w:t xml:space="preserve">100</w:t>
            </w:r>
          </w:p>
        </w:tc>
        <w:tc>
          <w:tcPr>
            <w:tcW w:type="dxa" w:w="159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18"/>
                <w:szCs w:val="18"/>
              </w:rPr>
              <w:t xml:space="preserve">110</w:t>
            </w:r>
          </w:p>
        </w:tc>
        <w:tc>
          <w:tcPr>
            <w:tcW w:type="dxa" w:w="159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18"/>
                <w:szCs w:val="18"/>
              </w:rPr>
              <w:t xml:space="preserve">100</w:t>
            </w:r>
          </w:p>
        </w:tc>
      </w:tr>
      <w:tr>
        <w:tc>
          <w:tcPr>
            <w:tcW w:type="dxa" w:w="3000"/>
            <w:tcBorders>
              <w:top w:val="single" w:color="CCCCCC" w:sz="1"/>
              <w:left w:val="single" w:color="CCCCCC" w:sz="1"/>
              <w:bottom w:val="single" w:color="CCCCCC" w:sz="1"/>
              <w:right w:val="single" w:color="CCCCCC" w:sz="1"/>
            </w:tcBorders>
            <w:shd w:fill="F7F9FC" w:val="clear"/>
            <w:tcMar>
              <w:top w:type="dxa" w:w="60"/>
              <w:left w:type="dxa" w:w="100"/>
              <w:bottom w:type="dxa" w:w="60"/>
              <w:right w:type="dxa" w:w="100"/>
            </w:tcMar>
          </w:tcPr>
          <w:p>
            <w:r>
              <w:rPr>
                <w:rFonts w:ascii="Arial" w:cs="Arial" w:eastAsia="Arial" w:hAnsi="Arial"/>
                <w:b/>
                <w:bCs/>
                <w:color w:val="333333"/>
                <w:sz w:val="18"/>
                <w:szCs w:val="18"/>
              </w:rPr>
              <w:t xml:space="preserve">Blower CO2 (g/session)</w:t>
            </w:r>
          </w:p>
        </w:tc>
        <w:tc>
          <w:tcPr>
            <w:tcW w:type="dxa" w:w="1590"/>
            <w:tcBorders>
              <w:top w:val="single" w:color="CCCCCC" w:sz="1"/>
              <w:left w:val="single" w:color="CCCCCC" w:sz="1"/>
              <w:bottom w:val="single" w:color="CCCCCC" w:sz="1"/>
              <w:right w:val="single" w:color="CCCCCC" w:sz="1"/>
            </w:tcBorders>
            <w:shd w:fill="F7F9FC" w:val="clear"/>
            <w:tcMar>
              <w:top w:type="dxa" w:w="60"/>
              <w:left w:type="dxa" w:w="100"/>
              <w:bottom w:type="dxa" w:w="60"/>
              <w:right w:type="dxa" w:w="100"/>
            </w:tcMar>
          </w:tcPr>
          <w:p>
            <w:r>
              <w:rPr>
                <w:rFonts w:ascii="Arial" w:cs="Arial" w:eastAsia="Arial" w:hAnsi="Arial"/>
                <w:b w:val="false"/>
                <w:bCs w:val="false"/>
                <w:color w:val="333333"/>
                <w:sz w:val="18"/>
                <w:szCs w:val="18"/>
              </w:rPr>
              <w:t xml:space="preserve">945</w:t>
            </w:r>
          </w:p>
        </w:tc>
        <w:tc>
          <w:tcPr>
            <w:tcW w:type="dxa" w:w="1590"/>
            <w:tcBorders>
              <w:top w:val="single" w:color="CCCCCC" w:sz="1"/>
              <w:left w:val="single" w:color="CCCCCC" w:sz="1"/>
              <w:bottom w:val="single" w:color="CCCCCC" w:sz="1"/>
              <w:right w:val="single" w:color="CCCCCC" w:sz="1"/>
            </w:tcBorders>
            <w:shd w:fill="F7F9FC" w:val="clear"/>
            <w:tcMar>
              <w:top w:type="dxa" w:w="60"/>
              <w:left w:type="dxa" w:w="100"/>
              <w:bottom w:type="dxa" w:w="60"/>
              <w:right w:type="dxa" w:w="100"/>
            </w:tcMar>
          </w:tcPr>
          <w:p>
            <w:r>
              <w:rPr>
                <w:rFonts w:ascii="Arial" w:cs="Arial" w:eastAsia="Arial" w:hAnsi="Arial"/>
                <w:b w:val="false"/>
                <w:bCs w:val="false"/>
                <w:color w:val="333333"/>
                <w:sz w:val="18"/>
                <w:szCs w:val="18"/>
              </w:rPr>
              <w:t xml:space="preserve">945</w:t>
            </w:r>
          </w:p>
        </w:tc>
        <w:tc>
          <w:tcPr>
            <w:tcW w:type="dxa" w:w="1590"/>
            <w:tcBorders>
              <w:top w:val="single" w:color="CCCCCC" w:sz="1"/>
              <w:left w:val="single" w:color="CCCCCC" w:sz="1"/>
              <w:bottom w:val="single" w:color="CCCCCC" w:sz="1"/>
              <w:right w:val="single" w:color="CCCCCC" w:sz="1"/>
            </w:tcBorders>
            <w:shd w:fill="F7F9FC" w:val="clear"/>
            <w:tcMar>
              <w:top w:type="dxa" w:w="60"/>
              <w:left w:type="dxa" w:w="100"/>
              <w:bottom w:type="dxa" w:w="60"/>
              <w:right w:type="dxa" w:w="100"/>
            </w:tcMar>
          </w:tcPr>
          <w:p>
            <w:r>
              <w:rPr>
                <w:rFonts w:ascii="Arial" w:cs="Arial" w:eastAsia="Arial" w:hAnsi="Arial"/>
                <w:b w:val="false"/>
                <w:bCs w:val="false"/>
                <w:color w:val="333333"/>
                <w:sz w:val="18"/>
                <w:szCs w:val="18"/>
              </w:rPr>
              <w:t xml:space="preserve">945</w:t>
            </w:r>
          </w:p>
        </w:tc>
        <w:tc>
          <w:tcPr>
            <w:tcW w:type="dxa" w:w="1590"/>
            <w:tcBorders>
              <w:top w:val="single" w:color="CCCCCC" w:sz="1"/>
              <w:left w:val="single" w:color="CCCCCC" w:sz="1"/>
              <w:bottom w:val="single" w:color="CCCCCC" w:sz="1"/>
              <w:right w:val="single" w:color="CCCCCC" w:sz="1"/>
            </w:tcBorders>
            <w:shd w:fill="F7F9FC" w:val="clear"/>
            <w:tcMar>
              <w:top w:type="dxa" w:w="60"/>
              <w:left w:type="dxa" w:w="100"/>
              <w:bottom w:type="dxa" w:w="60"/>
              <w:right w:type="dxa" w:w="100"/>
            </w:tcMar>
          </w:tcPr>
          <w:p>
            <w:r>
              <w:rPr>
                <w:rFonts w:ascii="Arial" w:cs="Arial" w:eastAsia="Arial" w:hAnsi="Arial"/>
                <w:b w:val="false"/>
                <w:bCs w:val="false"/>
                <w:color w:val="333333"/>
                <w:sz w:val="18"/>
                <w:szCs w:val="18"/>
              </w:rPr>
              <w:t xml:space="preserve">945</w:t>
            </w:r>
          </w:p>
        </w:tc>
      </w:tr>
    </w:tbl>
    <w:p>
      <w:pPr>
        <w:pStyle w:val="Heading2"/>
        <w:spacing w:before="240" w:after="120"/>
      </w:pPr>
      <w:r>
        <w:rPr>
          <w:rFonts w:ascii="Arial" w:cs="Arial" w:eastAsia="Arial" w:hAnsi="Arial"/>
        </w:rPr>
        <w:t xml:space="preserve">3.2 Parameter Sources</w:t>
      </w:r>
    </w:p>
    <w:p>
      <w:pPr>
        <w:spacing w:after="80"/>
      </w:pPr>
      <w:r>
        <w:rPr>
          <w:rFonts w:ascii="Arial" w:cs="Arial" w:eastAsia="Arial" w:hAnsi="Arial"/>
          <w:b/>
          <w:bCs/>
          <w:color w:val="0A2540"/>
          <w:sz w:val="20"/>
          <w:szCs w:val="20"/>
        </w:rPr>
        <w:t xml:space="preserve">Rainfall: </w:t>
      </w:r>
      <w:r>
        <w:rPr>
          <w:rFonts w:ascii="Arial" w:cs="Arial" w:eastAsia="Arial" w:hAnsi="Arial"/>
          <w:color w:val="333333"/>
          <w:sz w:val="20"/>
          <w:szCs w:val="20"/>
        </w:rPr>
        <w:t xml:space="preserve">NOAA Climate Normals (1991–2020 annual precipitation averages by region).</w:t>
      </w:r>
    </w:p>
    <w:p>
      <w:pPr>
        <w:spacing w:after="80"/>
      </w:pPr>
      <w:r>
        <w:rPr>
          <w:rFonts w:ascii="Arial" w:cs="Arial" w:eastAsia="Arial" w:hAnsi="Arial"/>
          <w:b/>
          <w:bCs/>
          <w:color w:val="0A2540"/>
          <w:sz w:val="20"/>
          <w:szCs w:val="20"/>
        </w:rPr>
        <w:t xml:space="preserve">Infiltration rates: </w:t>
      </w:r>
      <w:r>
        <w:rPr>
          <w:rFonts w:ascii="Arial" w:cs="Arial" w:eastAsia="Arial" w:hAnsi="Arial"/>
          <w:color w:val="333333"/>
          <w:sz w:val="20"/>
          <w:szCs w:val="20"/>
        </w:rPr>
        <w:t xml:space="preserve">EPA stormwater management literature; prairie root system studies documenting 6–15 ft root depth and 18x infiltration improvement over turf.</w:t>
      </w:r>
    </w:p>
    <w:p>
      <w:pPr>
        <w:spacing w:after="80"/>
      </w:pPr>
      <w:r>
        <w:rPr>
          <w:rFonts w:ascii="Arial" w:cs="Arial" w:eastAsia="Arial" w:hAnsi="Arial"/>
          <w:b/>
          <w:bCs/>
          <w:color w:val="0A2540"/>
          <w:sz w:val="20"/>
          <w:szCs w:val="20"/>
        </w:rPr>
        <w:t xml:space="preserve">Water capture factors: </w:t>
      </w:r>
      <w:r>
        <w:rPr>
          <w:rFonts w:ascii="Arial" w:cs="Arial" w:eastAsia="Arial" w:hAnsi="Arial"/>
          <w:color w:val="333333"/>
          <w:sz w:val="20"/>
          <w:szCs w:val="20"/>
        </w:rPr>
        <w:t xml:space="preserve">Derived from rainfall × infiltration differential between native and lawn landscapes, calibrated to regional precipitation patterns.</w:t>
      </w:r>
    </w:p>
    <w:p>
      <w:pPr>
        <w:spacing w:after="80"/>
      </w:pPr>
      <w:r>
        <w:rPr>
          <w:rFonts w:ascii="Arial" w:cs="Arial" w:eastAsia="Arial" w:hAnsi="Arial"/>
          <w:b/>
          <w:bCs/>
          <w:color w:val="0A2540"/>
          <w:sz w:val="20"/>
          <w:szCs w:val="20"/>
        </w:rPr>
        <w:t xml:space="preserve">Cooling Degree Days: </w:t>
      </w:r>
      <w:r>
        <w:rPr>
          <w:rFonts w:ascii="Arial" w:cs="Arial" w:eastAsia="Arial" w:hAnsi="Arial"/>
          <w:color w:val="333333"/>
          <w:sz w:val="20"/>
          <w:szCs w:val="20"/>
        </w:rPr>
        <w:t xml:space="preserve">NOAA CDD data by climate region, used to scale energy savings from tree canopy shading.</w:t>
      </w:r>
    </w:p>
    <w:p>
      <w:pPr>
        <w:spacing w:after="80"/>
      </w:pPr>
      <w:r>
        <w:rPr>
          <w:rFonts w:ascii="Arial" w:cs="Arial" w:eastAsia="Arial" w:hAnsi="Arial"/>
          <w:b/>
          <w:bCs/>
          <w:color w:val="0A2540"/>
          <w:sz w:val="20"/>
          <w:szCs w:val="20"/>
        </w:rPr>
        <w:t xml:space="preserve">CO2 sequestration: </w:t>
      </w:r>
      <w:r>
        <w:rPr>
          <w:rFonts w:ascii="Arial" w:cs="Arial" w:eastAsia="Arial" w:hAnsi="Arial"/>
          <w:color w:val="333333"/>
          <w:sz w:val="20"/>
          <w:szCs w:val="20"/>
        </w:rPr>
        <w:t xml:space="preserve">USDA Forest Service i-Tree model estimates for urban trees; prairie carbon literature for grassland sequestration rates.</w:t>
      </w:r>
    </w:p>
    <w:p>
      <w:pPr>
        <w:spacing w:after="80"/>
      </w:pPr>
      <w:r>
        <w:rPr>
          <w:rFonts w:ascii="Arial" w:cs="Arial" w:eastAsia="Arial" w:hAnsi="Arial"/>
          <w:b/>
          <w:bCs/>
          <w:color w:val="0A2540"/>
          <w:sz w:val="20"/>
          <w:szCs w:val="20"/>
        </w:rPr>
        <w:t xml:space="preserve">Maintenance costs: </w:t>
      </w:r>
      <w:r>
        <w:rPr>
          <w:rFonts w:ascii="Arial" w:cs="Arial" w:eastAsia="Arial" w:hAnsi="Arial"/>
          <w:color w:val="333333"/>
          <w:sz w:val="20"/>
          <w:szCs w:val="20"/>
        </w:rPr>
        <w:t xml:space="preserve">University of California Cooperative Extension studies; Ernst Seeds native landscape economics; regional lawn care market surveys.</w:t>
      </w:r>
    </w:p>
    <w:p>
      <w:pPr>
        <w:spacing w:after="80"/>
      </w:pPr>
      <w:r>
        <w:rPr>
          <w:rFonts w:ascii="Arial" w:cs="Arial" w:eastAsia="Arial" w:hAnsi="Arial"/>
          <w:b/>
          <w:bCs/>
          <w:color w:val="0A2540"/>
          <w:sz w:val="20"/>
          <w:szCs w:val="20"/>
        </w:rPr>
        <w:t xml:space="preserve">Blower emissions: </w:t>
      </w:r>
      <w:r>
        <w:rPr>
          <w:rFonts w:ascii="Arial" w:cs="Arial" w:eastAsia="Arial" w:hAnsi="Arial"/>
          <w:color w:val="333333"/>
          <w:sz w:val="20"/>
          <w:szCs w:val="20"/>
        </w:rPr>
        <w:t xml:space="preserve">EPA Small Engine Emissions Standards; Edmunds (2011) leaf blower emissions testing. 945g CO2 per session based on commercial-grade gas leaf blower operation.</w:t>
      </w:r>
    </w:p>
    <w:p>
      <w:pPr>
        <w:spacing w:after="80"/>
      </w:pPr>
      <w:r>
        <w:rPr>
          <w:rFonts w:ascii="Arial" w:cs="Arial" w:eastAsia="Arial" w:hAnsi="Arial"/>
          <w:b/>
          <w:bCs/>
          <w:color w:val="0A2540"/>
          <w:sz w:val="20"/>
          <w:szCs w:val="20"/>
        </w:rPr>
        <w:t xml:space="preserve">Reference species: </w:t>
      </w:r>
      <w:r>
        <w:rPr>
          <w:rFonts w:ascii="Arial" w:cs="Arial" w:eastAsia="Arial" w:hAnsi="Arial"/>
          <w:color w:val="333333"/>
          <w:sz w:val="20"/>
          <w:szCs w:val="20"/>
        </w:rPr>
        <w:t xml:space="preserve">Regional native plant databases (Lady Bird Johnson Wildflower Center, NPSOT) adjusted for typical urban garden feasibility.</w:t>
      </w:r>
    </w:p>
    <w:p>
      <w:r>
        <w:br w:type="page"/>
      </w:r>
    </w:p>
    <w:p>
      <w:pPr>
        <w:pStyle w:val="Heading1"/>
        <w:spacing w:before="360" w:after="120"/>
      </w:pPr>
      <w:r>
        <w:rPr>
          <w:rFonts w:ascii="Arial" w:cs="Arial" w:eastAsia="Arial" w:hAnsi="Arial"/>
        </w:rPr>
        <w:t xml:space="preserve">4. Nine-Dimension Impact Calculation Engine</w:t>
      </w:r>
    </w:p>
    <w:p>
      <w:pPr>
        <w:spacing w:after="120" w:before="0"/>
        <w:jc w:val="left"/>
      </w:pPr>
      <w:r>
        <w:rPr>
          <w:rFonts w:ascii="Arial" w:cs="Arial" w:eastAsia="Arial" w:hAnsi="Arial"/>
          <w:b w:val="false"/>
          <w:bCs w:val="false"/>
          <w:i w:val="false"/>
          <w:iCs w:val="false"/>
          <w:color w:val="333333"/>
          <w:sz w:val="20"/>
          <w:szCs w:val="20"/>
        </w:rPr>
        <w:t xml:space="preserve">The core impact engine calculates metrics across nine environmental and social dimensions for each registered garden. All calculations take as input the garden’s size (square feet), active commitments, species count, tree count, and zone baseline. The function calculateGardenImpact() in portal.html (lines 12967–13031) produces this output.</w:t>
      </w:r>
    </w:p>
    <w:p>
      <w:pPr>
        <w:pStyle w:val="Heading2"/>
        <w:spacing w:before="240" w:after="120"/>
      </w:pPr>
      <w:r>
        <w:rPr>
          <w:rFonts w:ascii="Arial" w:cs="Arial" w:eastAsia="Arial" w:hAnsi="Arial"/>
        </w:rPr>
        <w:t xml:space="preserve">4.1 Water Dimension</w:t>
      </w:r>
    </w:p>
    <w:p>
      <w:pPr>
        <w:spacing w:after="120" w:before="0"/>
        <w:jc w:val="left"/>
      </w:pPr>
      <w:r>
        <w:rPr>
          <w:rFonts w:ascii="Arial" w:cs="Arial" w:eastAsia="Arial" w:hAnsi="Arial"/>
          <w:b w:val="false"/>
          <w:bCs w:val="false"/>
          <w:i w:val="false"/>
          <w:iCs w:val="false"/>
          <w:color w:val="333333"/>
          <w:sz w:val="20"/>
          <w:szCs w:val="20"/>
        </w:rPr>
        <w:t xml:space="preserve">Measures stormwater capture, drought resilience, and irrigation savings from converting lawn to native landscape.</w:t>
      </w:r>
    </w:p>
    <w:p>
      <w:pPr>
        <w:pStyle w:val="Heading3"/>
        <w:spacing w:before="240" w:after="120"/>
      </w:pPr>
      <w:r>
        <w:rPr>
          <w:rFonts w:ascii="Arial" w:cs="Arial" w:eastAsia="Arial" w:hAnsi="Arial"/>
        </w:rPr>
        <w:t xml:space="preserve">Water Capture</w:t>
      </w:r>
    </w:p>
    <w:p>
      <w:pPr>
        <w:spacing w:after="120" w:before="60"/>
        <w:ind w:left="360"/>
      </w:pPr>
      <w:r>
        <w:rPr>
          <w:rFonts w:ascii="Courier New" w:cs="Courier New" w:eastAsia="Courier New" w:hAnsi="Courier New"/>
          <w:color w:val="0A2540"/>
          <w:sz w:val="18"/>
          <w:szCs w:val="18"/>
        </w:rPr>
        <w:t xml:space="preserve">waterCapture = sqft × zone.water_factor × waterMultiplier</w:t>
      </w:r>
    </w:p>
    <w:p>
      <w:pPr>
        <w:spacing w:after="120" w:before="0"/>
        <w:jc w:val="left"/>
      </w:pPr>
      <w:r>
        <w:rPr>
          <w:rFonts w:ascii="Arial" w:cs="Arial" w:eastAsia="Arial" w:hAnsi="Arial"/>
          <w:b w:val="false"/>
          <w:bCs w:val="false"/>
          <w:i w:val="false"/>
          <w:iCs w:val="false"/>
          <w:color w:val="333333"/>
          <w:sz w:val="20"/>
          <w:szCs w:val="20"/>
        </w:rPr>
        <w:t xml:space="preserve">The water multiplier starts at 1.0x and increases with water-related commitments: 1.3x for rainwater harvesting (W.1) or rain gardens (W.2), and 1.5x for advanced water stewardship (W.3).</w:t>
      </w:r>
    </w:p>
    <w:p>
      <w:pPr>
        <w:spacing w:after="80"/>
      </w:pPr>
      <w:r>
        <w:rPr>
          <w:rFonts w:ascii="Arial" w:cs="Arial" w:eastAsia="Arial" w:hAnsi="Arial"/>
          <w:b/>
          <w:bCs/>
          <w:color w:val="0A2540"/>
          <w:sz w:val="20"/>
          <w:szCs w:val="20"/>
        </w:rPr>
        <w:t xml:space="preserve">Source: </w:t>
      </w:r>
      <w:r>
        <w:rPr>
          <w:rFonts w:ascii="Arial" w:cs="Arial" w:eastAsia="Arial" w:hAnsi="Arial"/>
          <w:color w:val="333333"/>
          <w:sz w:val="20"/>
          <w:szCs w:val="20"/>
        </w:rPr>
        <w:t xml:space="preserve">EPA rain garden performance data; regional precipitation-infiltration models.</w:t>
      </w:r>
    </w:p>
    <w:p>
      <w:pPr>
        <w:pStyle w:val="Heading3"/>
        <w:spacing w:before="240" w:after="120"/>
      </w:pPr>
      <w:r>
        <w:rPr>
          <w:rFonts w:ascii="Arial" w:cs="Arial" w:eastAsia="Arial" w:hAnsi="Arial"/>
        </w:rPr>
        <w:t xml:space="preserve">Water Banking (Drought Resilience)</w:t>
      </w:r>
    </w:p>
    <w:p>
      <w:pPr>
        <w:spacing w:after="120" w:before="60"/>
        <w:ind w:left="360"/>
      </w:pPr>
      <w:r>
        <w:rPr>
          <w:rFonts w:ascii="Courier New" w:cs="Courier New" w:eastAsia="Courier New" w:hAnsi="Courier New"/>
          <w:color w:val="0A2540"/>
          <w:sz w:val="18"/>
          <w:szCs w:val="18"/>
        </w:rPr>
        <w:t xml:space="preserve">waterBanking = sqft × zone.banking_factor</w:t>
      </w:r>
    </w:p>
    <w:p>
      <w:pPr>
        <w:spacing w:after="80"/>
      </w:pPr>
      <w:r>
        <w:rPr>
          <w:rFonts w:ascii="Arial" w:cs="Arial" w:eastAsia="Arial" w:hAnsi="Arial"/>
          <w:b/>
          <w:bCs/>
          <w:color w:val="0A2540"/>
          <w:sz w:val="20"/>
          <w:szCs w:val="20"/>
        </w:rPr>
        <w:t xml:space="preserve">Source: </w:t>
      </w:r>
      <w:r>
        <w:rPr>
          <w:rFonts w:ascii="Arial" w:cs="Arial" w:eastAsia="Arial" w:hAnsi="Arial"/>
          <w:color w:val="333333"/>
          <w:sz w:val="20"/>
          <w:szCs w:val="20"/>
        </w:rPr>
        <w:t xml:space="preserve">Soil water-holding capacity literature for native prairie root systems.</w:t>
      </w:r>
    </w:p>
    <w:p>
      <w:pPr>
        <w:pStyle w:val="Heading3"/>
        <w:spacing w:before="240" w:after="120"/>
      </w:pPr>
      <w:r>
        <w:rPr>
          <w:rFonts w:ascii="Arial" w:cs="Arial" w:eastAsia="Arial" w:hAnsi="Arial"/>
        </w:rPr>
        <w:t xml:space="preserve">Irrigation Saved</w:t>
      </w:r>
    </w:p>
    <w:p>
      <w:pPr>
        <w:spacing w:after="120" w:before="60"/>
        <w:ind w:left="360"/>
      </w:pPr>
      <w:r>
        <w:rPr>
          <w:rFonts w:ascii="Courier New" w:cs="Courier New" w:eastAsia="Courier New" w:hAnsi="Courier New"/>
          <w:color w:val="0A2540"/>
          <w:sz w:val="18"/>
          <w:szCs w:val="18"/>
        </w:rPr>
        <w:t xml:space="preserve">irrigationSaved = sqft × (zone.irrigation_lawn − zone.irrigation_native)</w:t>
      </w:r>
    </w:p>
    <w:p>
      <w:pPr>
        <w:spacing w:after="80"/>
      </w:pPr>
      <w:r>
        <w:rPr>
          <w:rFonts w:ascii="Arial" w:cs="Arial" w:eastAsia="Arial" w:hAnsi="Arial"/>
          <w:b/>
          <w:bCs/>
          <w:color w:val="0A2540"/>
          <w:sz w:val="20"/>
          <w:szCs w:val="20"/>
        </w:rPr>
        <w:t xml:space="preserve">Source: </w:t>
      </w:r>
      <w:r>
        <w:rPr>
          <w:rFonts w:ascii="Arial" w:cs="Arial" w:eastAsia="Arial" w:hAnsi="Arial"/>
          <w:color w:val="333333"/>
          <w:sz w:val="20"/>
          <w:szCs w:val="20"/>
        </w:rPr>
        <w:t xml:space="preserve">Texas A&amp;M AgriLife Extension irrigation benchmarks for turf vs. native landscapes.</w:t>
      </w:r>
    </w:p>
    <w:p>
      <w:pPr>
        <w:pStyle w:val="Heading3"/>
        <w:spacing w:before="240" w:after="120"/>
      </w:pPr>
      <w:r>
        <w:rPr>
          <w:rFonts w:ascii="Arial" w:cs="Arial" w:eastAsia="Arial" w:hAnsi="Arial"/>
        </w:rPr>
        <w:t xml:space="preserve">Total Water Impact</w:t>
      </w:r>
    </w:p>
    <w:p>
      <w:pPr>
        <w:spacing w:after="120" w:before="60"/>
        <w:ind w:left="360"/>
      </w:pPr>
      <w:r>
        <w:rPr>
          <w:rFonts w:ascii="Courier New" w:cs="Courier New" w:eastAsia="Courier New" w:hAnsi="Courier New"/>
          <w:color w:val="0A2540"/>
          <w:sz w:val="18"/>
          <w:szCs w:val="18"/>
        </w:rPr>
        <w:t xml:space="preserve">waterTotal = waterCapture + irrigationSaved</w:t>
      </w:r>
    </w:p>
    <w:p>
      <w:pPr>
        <w:pStyle w:val="Heading2"/>
        <w:spacing w:before="240" w:after="120"/>
      </w:pPr>
      <w:r>
        <w:rPr>
          <w:rFonts w:ascii="Arial" w:cs="Arial" w:eastAsia="Arial" w:hAnsi="Arial"/>
        </w:rPr>
        <w:t xml:space="preserve">4.2 Heat Dimension</w:t>
      </w:r>
    </w:p>
    <w:p>
      <w:pPr>
        <w:spacing w:after="120" w:before="0"/>
        <w:jc w:val="left"/>
      </w:pPr>
      <w:r>
        <w:rPr>
          <w:rFonts w:ascii="Arial" w:cs="Arial" w:eastAsia="Arial" w:hAnsi="Arial"/>
          <w:b w:val="false"/>
          <w:bCs w:val="false"/>
          <w:i w:val="false"/>
          <w:iCs w:val="false"/>
          <w:color w:val="333333"/>
          <w:sz w:val="20"/>
          <w:szCs w:val="20"/>
        </w:rPr>
        <w:t xml:space="preserve">Estimates temperature reduction, energy savings, and cooling surface area from native plantings and tree canopy.</w:t>
      </w:r>
    </w:p>
    <w:p>
      <w:pPr>
        <w:pStyle w:val="Heading3"/>
        <w:spacing w:before="240" w:after="120"/>
      </w:pPr>
      <w:r>
        <w:rPr>
          <w:rFonts w:ascii="Arial" w:cs="Arial" w:eastAsia="Arial" w:hAnsi="Arial"/>
        </w:rPr>
        <w:t xml:space="preserve">Temperature Reduction</w:t>
      </w:r>
    </w:p>
    <w:p>
      <w:pPr>
        <w:spacing w:after="120" w:before="60"/>
        <w:ind w:left="360"/>
      </w:pPr>
      <w:r>
        <w:rPr>
          <w:rFonts w:ascii="Courier New" w:cs="Courier New" w:eastAsia="Courier New" w:hAnsi="Courier New"/>
          <w:color w:val="0A2540"/>
          <w:sz w:val="18"/>
          <w:szCs w:val="18"/>
        </w:rPr>
        <w:t xml:space="preserve">heatReduction = (sqft / 1000) × 3°F</w:t>
      </w:r>
    </w:p>
    <w:p>
      <w:pPr>
        <w:spacing w:after="120" w:before="0"/>
        <w:jc w:val="left"/>
      </w:pPr>
      <w:r>
        <w:rPr>
          <w:rFonts w:ascii="Arial" w:cs="Arial" w:eastAsia="Arial" w:hAnsi="Arial"/>
          <w:b w:val="false"/>
          <w:bCs w:val="false"/>
          <w:i w:val="false"/>
          <w:iCs w:val="false"/>
          <w:color w:val="333333"/>
          <w:sz w:val="20"/>
          <w:szCs w:val="20"/>
        </w:rPr>
        <w:t xml:space="preserve">Approximation: ~3°F cooling per 1,000 sqft of native vegetation. This is a conservative mid-range estimate from urban heat island research.</w:t>
      </w:r>
    </w:p>
    <w:p>
      <w:pPr>
        <w:spacing w:after="80"/>
      </w:pPr>
      <w:r>
        <w:rPr>
          <w:rFonts w:ascii="Arial" w:cs="Arial" w:eastAsia="Arial" w:hAnsi="Arial"/>
          <w:b/>
          <w:bCs/>
          <w:color w:val="0A2540"/>
          <w:sz w:val="20"/>
          <w:szCs w:val="20"/>
        </w:rPr>
        <w:t xml:space="preserve">Source: </w:t>
      </w:r>
      <w:r>
        <w:rPr>
          <w:rFonts w:ascii="Arial" w:cs="Arial" w:eastAsia="Arial" w:hAnsi="Arial"/>
          <w:color w:val="333333"/>
          <w:sz w:val="20"/>
          <w:szCs w:val="20"/>
        </w:rPr>
        <w:t xml:space="preserve">EPA Urban Heat Island research; multiple studies documenting 7–9°F cooling from 40% canopy cover.</w:t>
      </w:r>
    </w:p>
    <w:p>
      <w:pPr>
        <w:pStyle w:val="Heading3"/>
        <w:spacing w:before="240" w:after="120"/>
      </w:pPr>
      <w:r>
        <w:rPr>
          <w:rFonts w:ascii="Arial" w:cs="Arial" w:eastAsia="Arial" w:hAnsi="Arial"/>
        </w:rPr>
        <w:t xml:space="preserve">Energy Savings</w:t>
      </w:r>
    </w:p>
    <w:p>
      <w:pPr>
        <w:spacing w:after="120" w:before="60"/>
        <w:ind w:left="360"/>
      </w:pPr>
      <w:r>
        <w:rPr>
          <w:rFonts w:ascii="Courier New" w:cs="Courier New" w:eastAsia="Courier New" w:hAnsi="Courier New"/>
          <w:color w:val="0A2540"/>
          <w:sz w:val="18"/>
          <w:szCs w:val="18"/>
        </w:rPr>
        <w:t xml:space="preserve">energySaved = treeCount × 650 kWh/yr</w:t>
      </w:r>
    </w:p>
    <w:p>
      <w:pPr>
        <w:spacing w:after="80"/>
      </w:pPr>
      <w:r>
        <w:rPr>
          <w:rFonts w:ascii="Arial" w:cs="Arial" w:eastAsia="Arial" w:hAnsi="Arial"/>
          <w:b/>
          <w:bCs/>
          <w:color w:val="0A2540"/>
          <w:sz w:val="20"/>
          <w:szCs w:val="20"/>
        </w:rPr>
        <w:t xml:space="preserve">Source: </w:t>
      </w:r>
      <w:r>
        <w:rPr>
          <w:rFonts w:ascii="Arial" w:cs="Arial" w:eastAsia="Arial" w:hAnsi="Arial"/>
          <w:color w:val="333333"/>
          <w:sz w:val="20"/>
          <w:szCs w:val="20"/>
        </w:rPr>
        <w:t xml:space="preserve">USDA Forest Service; estimated 650 kWh annual cooling savings per mature urban tree.</w:t>
      </w:r>
    </w:p>
    <w:p>
      <w:pPr>
        <w:pStyle w:val="Heading2"/>
        <w:spacing w:before="240" w:after="120"/>
      </w:pPr>
      <w:r>
        <w:rPr>
          <w:rFonts w:ascii="Arial" w:cs="Arial" w:eastAsia="Arial" w:hAnsi="Arial"/>
        </w:rPr>
        <w:t xml:space="preserve">4.3 Carbon Dimension</w:t>
      </w:r>
    </w:p>
    <w:p>
      <w:pPr>
        <w:spacing w:after="120" w:before="0"/>
        <w:jc w:val="left"/>
      </w:pPr>
      <w:r>
        <w:rPr>
          <w:rFonts w:ascii="Arial" w:cs="Arial" w:eastAsia="Arial" w:hAnsi="Arial"/>
          <w:b w:val="false"/>
          <w:bCs w:val="false"/>
          <w:i w:val="false"/>
          <w:iCs w:val="false"/>
          <w:color w:val="333333"/>
          <w:sz w:val="20"/>
          <w:szCs w:val="20"/>
        </w:rPr>
        <w:t xml:space="preserve">Tracks carbon sequestered by plants and trees, plus emissions avoided by eliminating gas-powered lawn equipment.</w:t>
      </w:r>
    </w:p>
    <w:p>
      <w:pPr>
        <w:pStyle w:val="Heading3"/>
        <w:spacing w:before="240" w:after="120"/>
      </w:pPr>
      <w:r>
        <w:rPr>
          <w:rFonts w:ascii="Arial" w:cs="Arial" w:eastAsia="Arial" w:hAnsi="Arial"/>
        </w:rPr>
        <w:t xml:space="preserve">Carbon Sequestration</w:t>
      </w:r>
    </w:p>
    <w:p>
      <w:pPr>
        <w:spacing w:after="120" w:before="60"/>
        <w:ind w:left="360"/>
      </w:pPr>
      <w:r>
        <w:rPr>
          <w:rFonts w:ascii="Courier New" w:cs="Courier New" w:eastAsia="Courier New" w:hAnsi="Courier New"/>
          <w:color w:val="0A2540"/>
          <w:sz w:val="18"/>
          <w:szCs w:val="18"/>
        </w:rPr>
        <w:t xml:space="preserve">carbonSeq = (treeCount × zone.tree_co2_yr) + (sqft × zone.prairie_co2_sqft)</w:t>
      </w:r>
    </w:p>
    <w:p>
      <w:pPr>
        <w:spacing w:after="80"/>
      </w:pPr>
      <w:r>
        <w:rPr>
          <w:rFonts w:ascii="Arial" w:cs="Arial" w:eastAsia="Arial" w:hAnsi="Arial"/>
          <w:b/>
          <w:bCs/>
          <w:color w:val="0A2540"/>
          <w:sz w:val="20"/>
          <w:szCs w:val="20"/>
        </w:rPr>
        <w:t xml:space="preserve">Source: </w:t>
      </w:r>
      <w:r>
        <w:rPr>
          <w:rFonts w:ascii="Arial" w:cs="Arial" w:eastAsia="Arial" w:hAnsi="Arial"/>
          <w:color w:val="333333"/>
          <w:sz w:val="20"/>
          <w:szCs w:val="20"/>
        </w:rPr>
        <w:t xml:space="preserve">USDA Forest Service i-Tree Streets model (tree component); Tallgrass Prairie studies showing 0.25–0.35 lbs CO2/sqft/yr sequestration for grassland restoration.</w:t>
      </w:r>
    </w:p>
    <w:p>
      <w:pPr>
        <w:pStyle w:val="Heading3"/>
        <w:spacing w:before="240" w:after="120"/>
      </w:pPr>
      <w:r>
        <w:rPr>
          <w:rFonts w:ascii="Arial" w:cs="Arial" w:eastAsia="Arial" w:hAnsi="Arial"/>
        </w:rPr>
        <w:t xml:space="preserve">Emissions Avoided (Mowing Equipment)</w:t>
      </w:r>
    </w:p>
    <w:p>
      <w:pPr>
        <w:spacing w:after="120" w:before="60"/>
        <w:ind w:left="360"/>
      </w:pPr>
      <w:r>
        <w:rPr>
          <w:rFonts w:ascii="Courier New" w:cs="Courier New" w:eastAsia="Courier New" w:hAnsi="Courier New"/>
          <w:color w:val="0A2540"/>
          <w:sz w:val="18"/>
          <w:szCs w:val="18"/>
        </w:rPr>
        <w:t xml:space="preserve">carbonAvoided = zone.mowing_sessions × (zone.blower_co2_g / 453.6)</w:t>
      </w:r>
    </w:p>
    <w:p>
      <w:pPr>
        <w:spacing w:after="120" w:before="0"/>
        <w:jc w:val="left"/>
      </w:pPr>
      <w:r>
        <w:rPr>
          <w:rFonts w:ascii="Arial" w:cs="Arial" w:eastAsia="Arial" w:hAnsi="Arial"/>
          <w:b w:val="false"/>
          <w:bCs w:val="false"/>
          <w:i w:val="false"/>
          <w:iCs w:val="false"/>
          <w:color w:val="333333"/>
          <w:sz w:val="20"/>
          <w:szCs w:val="20"/>
        </w:rPr>
        <w:t xml:space="preserve">Converts grams to pounds (453.6 g/lb). Based on a commercial-grade gas leaf blower emitting 945g CO2 per session.</w:t>
      </w:r>
    </w:p>
    <w:p>
      <w:pPr>
        <w:spacing w:after="80"/>
      </w:pPr>
      <w:r>
        <w:rPr>
          <w:rFonts w:ascii="Arial" w:cs="Arial" w:eastAsia="Arial" w:hAnsi="Arial"/>
          <w:b/>
          <w:bCs/>
          <w:color w:val="0A2540"/>
          <w:sz w:val="20"/>
          <w:szCs w:val="20"/>
        </w:rPr>
        <w:t xml:space="preserve">Source: </w:t>
      </w:r>
      <w:r>
        <w:rPr>
          <w:rFonts w:ascii="Arial" w:cs="Arial" w:eastAsia="Arial" w:hAnsi="Arial"/>
          <w:color w:val="333333"/>
          <w:sz w:val="20"/>
          <w:szCs w:val="20"/>
        </w:rPr>
        <w:t xml:space="preserve">EPA NONROAD emission model; Edmunds (2011) leaf blower emissions testing.</w:t>
      </w:r>
    </w:p>
    <w:p>
      <w:pPr>
        <w:pStyle w:val="Heading3"/>
        <w:spacing w:before="240" w:after="120"/>
      </w:pPr>
      <w:r>
        <w:rPr>
          <w:rFonts w:ascii="Arial" w:cs="Arial" w:eastAsia="Arial" w:hAnsi="Arial"/>
        </w:rPr>
        <w:t xml:space="preserve">Chemicals Avoided</w:t>
      </w:r>
    </w:p>
    <w:p>
      <w:pPr>
        <w:spacing w:after="120" w:before="60"/>
        <w:ind w:left="360"/>
      </w:pPr>
      <w:r>
        <w:rPr>
          <w:rFonts w:ascii="Courier New" w:cs="Courier New" w:eastAsia="Courier New" w:hAnsi="Courier New"/>
          <w:color w:val="0A2540"/>
          <w:sz w:val="18"/>
          <w:szCs w:val="18"/>
        </w:rPr>
        <w:t xml:space="preserve">chemicalsAvoided = (sqft / 1000) × 6 lbs/yr</w:t>
      </w:r>
    </w:p>
    <w:p>
      <w:pPr>
        <w:spacing w:after="80"/>
      </w:pPr>
      <w:r>
        <w:rPr>
          <w:rFonts w:ascii="Arial" w:cs="Arial" w:eastAsia="Arial" w:hAnsi="Arial"/>
          <w:b/>
          <w:bCs/>
          <w:color w:val="0A2540"/>
          <w:sz w:val="20"/>
          <w:szCs w:val="20"/>
        </w:rPr>
        <w:t xml:space="preserve">Source: </w:t>
      </w:r>
      <w:r>
        <w:rPr>
          <w:rFonts w:ascii="Arial" w:cs="Arial" w:eastAsia="Arial" w:hAnsi="Arial"/>
          <w:color w:val="333333"/>
          <w:sz w:val="20"/>
          <w:szCs w:val="20"/>
        </w:rPr>
        <w:t xml:space="preserve">EPA and university extension estimates of ~6 lbs pesticides/herbicides/fertilizers per 1,000 sqft of conventional lawn per year.</w:t>
      </w:r>
    </w:p>
    <w:p>
      <w:pPr>
        <w:pStyle w:val="Heading2"/>
        <w:spacing w:before="240" w:after="120"/>
      </w:pPr>
      <w:r>
        <w:rPr>
          <w:rFonts w:ascii="Arial" w:cs="Arial" w:eastAsia="Arial" w:hAnsi="Arial"/>
        </w:rPr>
        <w:t xml:space="preserve">4.4 Noise Dimension</w:t>
      </w:r>
    </w:p>
    <w:p>
      <w:pPr>
        <w:spacing w:after="120" w:before="0"/>
        <w:jc w:val="left"/>
      </w:pPr>
      <w:r>
        <w:rPr>
          <w:rFonts w:ascii="Arial" w:cs="Arial" w:eastAsia="Arial" w:hAnsi="Arial"/>
          <w:b w:val="false"/>
          <w:bCs w:val="false"/>
          <w:i w:val="false"/>
          <w:iCs w:val="false"/>
          <w:color w:val="333333"/>
          <w:sz w:val="20"/>
          <w:szCs w:val="20"/>
        </w:rPr>
        <w:t xml:space="preserve">Quantifies hours of acoustic peace recovered and households benefiting from elimination of gas-powered lawn equipment.</w:t>
      </w:r>
    </w:p>
    <w:p>
      <w:pPr>
        <w:spacing w:after="120" w:before="60"/>
        <w:ind w:left="360"/>
      </w:pPr>
      <w:r>
        <w:rPr>
          <w:rFonts w:ascii="Courier New" w:cs="Courier New" w:eastAsia="Courier New" w:hAnsi="Courier New"/>
          <w:color w:val="0A2540"/>
          <w:sz w:val="18"/>
          <w:szCs w:val="18"/>
        </w:rPr>
        <w:t xml:space="preserve">peacefulHours = zone.mowing_sessions × 1.5 hours</w:t>
      </w:r>
    </w:p>
    <w:p>
      <w:pPr>
        <w:spacing w:after="120" w:before="60"/>
        <w:ind w:left="360"/>
      </w:pPr>
      <w:r>
        <w:rPr>
          <w:rFonts w:ascii="Courier New" w:cs="Courier New" w:eastAsia="Courier New" w:hAnsi="Courier New"/>
          <w:color w:val="0A2540"/>
          <w:sz w:val="18"/>
          <w:szCs w:val="18"/>
        </w:rPr>
        <w:t xml:space="preserve">householdsBenefiting = MIN(200, MAX(50, sqft / 20))</w:t>
      </w:r>
    </w:p>
    <w:p>
      <w:pPr>
        <w:spacing w:after="80"/>
      </w:pPr>
      <w:r>
        <w:rPr>
          <w:rFonts w:ascii="Arial" w:cs="Arial" w:eastAsia="Arial" w:hAnsi="Arial"/>
          <w:b/>
          <w:bCs/>
          <w:color w:val="0A2540"/>
          <w:sz w:val="20"/>
          <w:szCs w:val="20"/>
        </w:rPr>
        <w:t xml:space="preserve">Source: </w:t>
      </w:r>
      <w:r>
        <w:rPr>
          <w:rFonts w:ascii="Arial" w:cs="Arial" w:eastAsia="Arial" w:hAnsi="Arial"/>
          <w:color w:val="333333"/>
          <w:sz w:val="20"/>
          <w:szCs w:val="20"/>
        </w:rPr>
        <w:t xml:space="preserve">Acoustic research on commercial lawn equipment (100+ dB); noise propagation studies in residential settings.</w:t>
      </w:r>
    </w:p>
    <w:p>
      <w:pPr>
        <w:pStyle w:val="Heading2"/>
        <w:spacing w:before="240" w:after="120"/>
      </w:pPr>
      <w:r>
        <w:rPr>
          <w:rFonts w:ascii="Arial" w:cs="Arial" w:eastAsia="Arial" w:hAnsi="Arial"/>
        </w:rPr>
        <w:t xml:space="preserve">4.5 Biodiversity Dimension</w:t>
      </w:r>
    </w:p>
    <w:p>
      <w:pPr>
        <w:spacing w:after="120" w:before="0"/>
        <w:jc w:val="left"/>
      </w:pPr>
      <w:r>
        <w:rPr>
          <w:rFonts w:ascii="Arial" w:cs="Arial" w:eastAsia="Arial" w:hAnsi="Arial"/>
          <w:b w:val="false"/>
          <w:bCs w:val="false"/>
          <w:i w:val="false"/>
          <w:iCs w:val="false"/>
          <w:color w:val="333333"/>
          <w:sz w:val="20"/>
          <w:szCs w:val="20"/>
        </w:rPr>
        <w:t xml:space="preserve">Measures species diversity, pollinator habitat area, estimated pollinator visits, and biodiversity density.</w:t>
      </w:r>
    </w:p>
    <w:p>
      <w:pPr>
        <w:pStyle w:val="Heading3"/>
        <w:spacing w:before="240" w:after="120"/>
      </w:pPr>
      <w:r>
        <w:rPr>
          <w:rFonts w:ascii="Arial" w:cs="Arial" w:eastAsia="Arial" w:hAnsi="Arial"/>
        </w:rPr>
        <w:t xml:space="preserve">Diversity Index</w:t>
      </w:r>
    </w:p>
    <w:p>
      <w:pPr>
        <w:spacing w:after="120" w:before="60"/>
        <w:ind w:left="360"/>
      </w:pPr>
      <w:r>
        <w:rPr>
          <w:rFonts w:ascii="Courier New" w:cs="Courier New" w:eastAsia="Courier New" w:hAnsi="Courier New"/>
          <w:color w:val="0A2540"/>
          <w:sz w:val="18"/>
          <w:szCs w:val="18"/>
        </w:rPr>
        <w:t xml:space="preserve">diversityIndex = 1 − (1 / speciesCount)</w:t>
      </w:r>
    </w:p>
    <w:p>
      <w:pPr>
        <w:spacing w:after="120" w:before="0"/>
        <w:jc w:val="left"/>
      </w:pPr>
      <w:r>
        <w:rPr>
          <w:rFonts w:ascii="Arial" w:cs="Arial" w:eastAsia="Arial" w:hAnsi="Arial"/>
          <w:b w:val="false"/>
          <w:bCs w:val="false"/>
          <w:i w:val="false"/>
          <w:iCs w:val="false"/>
          <w:color w:val="333333"/>
          <w:sz w:val="20"/>
          <w:szCs w:val="20"/>
        </w:rPr>
        <w:t xml:space="preserve">A simplified Shannon diversity approximation. Range: 0–1.0. Higher values indicate greater species richness.</w:t>
      </w:r>
    </w:p>
    <w:p>
      <w:pPr>
        <w:pStyle w:val="Heading3"/>
        <w:spacing w:before="240" w:after="120"/>
      </w:pPr>
      <w:r>
        <w:rPr>
          <w:rFonts w:ascii="Arial" w:cs="Arial" w:eastAsia="Arial" w:hAnsi="Arial"/>
        </w:rPr>
        <w:t xml:space="preserve">Pollinator Habitat</w:t>
      </w:r>
    </w:p>
    <w:p>
      <w:pPr>
        <w:spacing w:after="120" w:before="60"/>
        <w:ind w:left="360"/>
      </w:pPr>
      <w:r>
        <w:rPr>
          <w:rFonts w:ascii="Courier New" w:cs="Courier New" w:eastAsia="Courier New" w:hAnsi="Courier New"/>
          <w:color w:val="0A2540"/>
          <w:sz w:val="18"/>
          <w:szCs w:val="18"/>
        </w:rPr>
        <w:t xml:space="preserve">pollinatorHabitat = hasNativeCoverage ? sqft : sqft × 0.3</w:t>
      </w:r>
    </w:p>
    <w:p>
      <w:pPr>
        <w:spacing w:after="120" w:before="0"/>
        <w:jc w:val="left"/>
      </w:pPr>
      <w:r>
        <w:rPr>
          <w:rFonts w:ascii="Arial" w:cs="Arial" w:eastAsia="Arial" w:hAnsi="Arial"/>
          <w:b w:val="false"/>
          <w:bCs w:val="false"/>
          <w:i w:val="false"/>
          <w:iCs w:val="false"/>
          <w:color w:val="333333"/>
          <w:sz w:val="20"/>
          <w:szCs w:val="20"/>
        </w:rPr>
        <w:t xml:space="preserve">Gardens with full native coverage commitment (L.2) count entire area; otherwise 30% is estimated as active pollinator habitat.</w:t>
      </w:r>
    </w:p>
    <w:p>
      <w:pPr>
        <w:pStyle w:val="Heading3"/>
        <w:spacing w:before="240" w:after="120"/>
      </w:pPr>
      <w:r>
        <w:rPr>
          <w:rFonts w:ascii="Arial" w:cs="Arial" w:eastAsia="Arial" w:hAnsi="Arial"/>
        </w:rPr>
        <w:t xml:space="preserve">Pollinator Visits</w:t>
      </w:r>
    </w:p>
    <w:p>
      <w:pPr>
        <w:spacing w:after="120" w:before="60"/>
        <w:ind w:left="360"/>
      </w:pPr>
      <w:r>
        <w:rPr>
          <w:rFonts w:ascii="Courier New" w:cs="Courier New" w:eastAsia="Courier New" w:hAnsi="Courier New"/>
          <w:color w:val="0A2540"/>
          <w:sz w:val="18"/>
          <w:szCs w:val="18"/>
        </w:rPr>
        <w:t xml:space="preserve">pollinatorVisits = speciesCount × sqft × 0.05</w:t>
      </w:r>
    </w:p>
    <w:p>
      <w:pPr>
        <w:spacing w:after="80"/>
      </w:pPr>
      <w:r>
        <w:rPr>
          <w:rFonts w:ascii="Arial" w:cs="Arial" w:eastAsia="Arial" w:hAnsi="Arial"/>
          <w:b/>
          <w:bCs/>
          <w:color w:val="0A2540"/>
          <w:sz w:val="20"/>
          <w:szCs w:val="20"/>
        </w:rPr>
        <w:t xml:space="preserve">Source: </w:t>
      </w:r>
      <w:r>
        <w:rPr>
          <w:rFonts w:ascii="Arial" w:cs="Arial" w:eastAsia="Arial" w:hAnsi="Arial"/>
          <w:color w:val="333333"/>
          <w:sz w:val="20"/>
          <w:szCs w:val="20"/>
        </w:rPr>
        <w:t xml:space="preserve">Xerces Society pollinator habitat research; Pollinator Partnership ecoregional data.</w:t>
      </w:r>
    </w:p>
    <w:p>
      <w:pPr>
        <w:pStyle w:val="Heading2"/>
        <w:spacing w:before="240" w:after="120"/>
      </w:pPr>
      <w:r>
        <w:rPr>
          <w:rFonts w:ascii="Arial" w:cs="Arial" w:eastAsia="Arial" w:hAnsi="Arial"/>
        </w:rPr>
        <w:t xml:space="preserve">4.6 Economic Dimension</w:t>
      </w:r>
    </w:p>
    <w:p>
      <w:pPr>
        <w:spacing w:after="120" w:before="0"/>
        <w:jc w:val="left"/>
      </w:pPr>
      <w:r>
        <w:rPr>
          <w:rFonts w:ascii="Arial" w:cs="Arial" w:eastAsia="Arial" w:hAnsi="Arial"/>
          <w:b w:val="false"/>
          <w:bCs w:val="false"/>
          <w:i w:val="false"/>
          <w:iCs w:val="false"/>
          <w:color w:val="333333"/>
          <w:sz w:val="20"/>
          <w:szCs w:val="20"/>
        </w:rPr>
        <w:t xml:space="preserve">Calculates annual maintenance savings, 10-year economic swing, and municipal services value.</w:t>
      </w:r>
    </w:p>
    <w:p>
      <w:pPr>
        <w:pStyle w:val="Heading3"/>
        <w:spacing w:before="240" w:after="120"/>
      </w:pPr>
      <w:r>
        <w:rPr>
          <w:rFonts w:ascii="Arial" w:cs="Arial" w:eastAsia="Arial" w:hAnsi="Arial"/>
        </w:rPr>
        <w:t xml:space="preserve">Annual Savings</w:t>
      </w:r>
    </w:p>
    <w:p>
      <w:pPr>
        <w:spacing w:after="120" w:before="60"/>
        <w:ind w:left="360"/>
      </w:pPr>
      <w:r>
        <w:rPr>
          <w:rFonts w:ascii="Courier New" w:cs="Courier New" w:eastAsia="Courier New" w:hAnsi="Courier New"/>
          <w:color w:val="0A2540"/>
          <w:sz w:val="18"/>
          <w:szCs w:val="18"/>
        </w:rPr>
        <w:t xml:space="preserve">annualSavings = (sqft / 1000) × (zone.lawn_cost − zone.native_cost)</w:t>
      </w:r>
    </w:p>
    <w:p>
      <w:pPr>
        <w:pStyle w:val="Heading3"/>
        <w:spacing w:before="240" w:after="120"/>
      </w:pPr>
      <w:r>
        <w:rPr>
          <w:rFonts w:ascii="Arial" w:cs="Arial" w:eastAsia="Arial" w:hAnsi="Arial"/>
        </w:rPr>
        <w:t xml:space="preserve">Municipal Services Value</w:t>
      </w:r>
    </w:p>
    <w:p>
      <w:pPr>
        <w:spacing w:after="120" w:before="60"/>
        <w:ind w:left="360"/>
      </w:pPr>
      <w:r>
        <w:rPr>
          <w:rFonts w:ascii="Courier New" w:cs="Courier New" w:eastAsia="Courier New" w:hAnsi="Courier New"/>
          <w:color w:val="0A2540"/>
          <w:sz w:val="18"/>
          <w:szCs w:val="18"/>
        </w:rPr>
        <w:t xml:space="preserve">municipalValue = (waterCapture × $0.08) + (carbonSeq/2000 × $50) + (canopySqft × $0.03)</w:t>
      </w:r>
    </w:p>
    <w:p>
      <w:pPr>
        <w:spacing w:after="120" w:before="0"/>
        <w:jc w:val="left"/>
      </w:pPr>
      <w:r>
        <w:rPr>
          <w:rFonts w:ascii="Arial" w:cs="Arial" w:eastAsia="Arial" w:hAnsi="Arial"/>
          <w:b w:val="false"/>
          <w:bCs w:val="false"/>
          <w:i w:val="false"/>
          <w:iCs w:val="false"/>
          <w:color w:val="333333"/>
          <w:sz w:val="20"/>
          <w:szCs w:val="20"/>
        </w:rPr>
        <w:t xml:space="preserve">Composite value representing stormwater treatment ($0.08/gal), social cost of carbon ($50/ton), and urban canopy services ($0.03/sqft).</w:t>
      </w:r>
    </w:p>
    <w:p>
      <w:pPr>
        <w:spacing w:after="80"/>
      </w:pPr>
      <w:r>
        <w:rPr>
          <w:rFonts w:ascii="Arial" w:cs="Arial" w:eastAsia="Arial" w:hAnsi="Arial"/>
          <w:b/>
          <w:bCs/>
          <w:color w:val="0A2540"/>
          <w:sz w:val="20"/>
          <w:szCs w:val="20"/>
        </w:rPr>
        <w:t xml:space="preserve">Source: </w:t>
      </w:r>
      <w:r>
        <w:rPr>
          <w:rFonts w:ascii="Arial" w:cs="Arial" w:eastAsia="Arial" w:hAnsi="Arial"/>
          <w:color w:val="333333"/>
          <w:sz w:val="20"/>
          <w:szCs w:val="20"/>
        </w:rPr>
        <w:t xml:space="preserve">EPA stormwater treatment costs; University of California Cooperative Extension; Ernst Seeds economic analysis.</w:t>
      </w:r>
    </w:p>
    <w:p>
      <w:pPr>
        <w:pStyle w:val="Heading2"/>
        <w:spacing w:before="240" w:after="120"/>
      </w:pPr>
      <w:r>
        <w:rPr>
          <w:rFonts w:ascii="Arial" w:cs="Arial" w:eastAsia="Arial" w:hAnsi="Arial"/>
        </w:rPr>
        <w:t xml:space="preserve">4.7 Social Dimension</w:t>
      </w:r>
    </w:p>
    <w:p>
      <w:pPr>
        <w:spacing w:after="120" w:before="0"/>
        <w:jc w:val="left"/>
      </w:pPr>
      <w:r>
        <w:rPr>
          <w:rFonts w:ascii="Arial" w:cs="Arial" w:eastAsia="Arial" w:hAnsi="Arial"/>
          <w:b w:val="false"/>
          <w:bCs w:val="false"/>
          <w:i w:val="false"/>
          <w:iCs w:val="false"/>
          <w:color w:val="333333"/>
          <w:sz w:val="20"/>
          <w:szCs w:val="20"/>
        </w:rPr>
        <w:t xml:space="preserve">Estimates social interaction multiplier, nature connection index, and public visibility reach.</w:t>
      </w:r>
    </w:p>
    <w:p>
      <w:pPr>
        <w:pStyle w:val="Heading3"/>
        <w:spacing w:before="240" w:after="120"/>
      </w:pPr>
      <w:r>
        <w:rPr>
          <w:rFonts w:ascii="Arial" w:cs="Arial" w:eastAsia="Arial" w:hAnsi="Arial"/>
        </w:rPr>
        <w:t xml:space="preserve">Social Gravity</w:t>
      </w:r>
    </w:p>
    <w:p>
      <w:pPr>
        <w:spacing w:after="120" w:before="60"/>
        <w:ind w:left="360"/>
      </w:pPr>
      <w:r>
        <w:rPr>
          <w:rFonts w:ascii="Courier New" w:cs="Courier New" w:eastAsia="Courier New" w:hAnsi="Courier New"/>
          <w:color w:val="0A2540"/>
          <w:sz w:val="18"/>
          <w:szCs w:val="18"/>
        </w:rPr>
        <w:t xml:space="preserve">socialGravity = 7x (constant)</w:t>
      </w:r>
    </w:p>
    <w:p>
      <w:pPr>
        <w:spacing w:after="120" w:before="0"/>
        <w:jc w:val="left"/>
      </w:pPr>
      <w:r>
        <w:rPr>
          <w:rFonts w:ascii="Arial" w:cs="Arial" w:eastAsia="Arial" w:hAnsi="Arial"/>
          <w:b w:val="false"/>
          <w:bCs w:val="false"/>
          <w:i w:val="false"/>
          <w:iCs w:val="false"/>
          <w:color w:val="333333"/>
          <w:sz w:val="20"/>
          <w:szCs w:val="20"/>
        </w:rPr>
        <w:t xml:space="preserve">Literature-based multiplier: native front yards generate approximately 7x more social interaction than conventional lawns.</w:t>
      </w:r>
    </w:p>
    <w:p>
      <w:pPr>
        <w:pStyle w:val="Heading3"/>
        <w:spacing w:before="240" w:after="120"/>
      </w:pPr>
      <w:r>
        <w:rPr>
          <w:rFonts w:ascii="Arial" w:cs="Arial" w:eastAsia="Arial" w:hAnsi="Arial"/>
        </w:rPr>
        <w:t xml:space="preserve">Nature Connection Index</w:t>
      </w:r>
    </w:p>
    <w:p>
      <w:pPr>
        <w:spacing w:after="120" w:before="60"/>
        <w:ind w:left="360"/>
      </w:pPr>
      <w:r>
        <w:rPr>
          <w:rFonts w:ascii="Courier New" w:cs="Courier New" w:eastAsia="Courier New" w:hAnsi="Courier New"/>
          <w:color w:val="0A2540"/>
          <w:sz w:val="18"/>
          <w:szCs w:val="18"/>
        </w:rPr>
        <w:t xml:space="preserve">NCI = MIN(100, (mowingSessions × 2 × 0.4) + (speciesComponent × 0.6))</w:t>
      </w:r>
    </w:p>
    <w:p>
      <w:pPr>
        <w:spacing w:after="120" w:before="0"/>
        <w:jc w:val="left"/>
      </w:pPr>
      <w:r>
        <w:rPr>
          <w:rFonts w:ascii="Arial" w:cs="Arial" w:eastAsia="Arial" w:hAnsi="Arial"/>
          <w:b w:val="false"/>
          <w:bCs w:val="false"/>
          <w:i w:val="false"/>
          <w:iCs w:val="false"/>
          <w:color w:val="333333"/>
          <w:sz w:val="20"/>
          <w:szCs w:val="20"/>
        </w:rPr>
        <w:t xml:space="preserve">Composite of quietness (40% weight) and biodiversity (60% weight). Capped at 100.</w:t>
      </w:r>
    </w:p>
    <w:p>
      <w:pPr>
        <w:spacing w:after="80"/>
      </w:pPr>
      <w:r>
        <w:rPr>
          <w:rFonts w:ascii="Arial" w:cs="Arial" w:eastAsia="Arial" w:hAnsi="Arial"/>
          <w:b/>
          <w:bCs/>
          <w:color w:val="0A2540"/>
          <w:sz w:val="20"/>
          <w:szCs w:val="20"/>
        </w:rPr>
        <w:t xml:space="preserve">Source: </w:t>
      </w:r>
      <w:r>
        <w:rPr>
          <w:rFonts w:ascii="Arial" w:cs="Arial" w:eastAsia="Arial" w:hAnsi="Arial"/>
          <w:color w:val="333333"/>
          <w:sz w:val="20"/>
          <w:szCs w:val="20"/>
        </w:rPr>
        <w:t xml:space="preserve">Kaplan &amp; Kaplan Attention Restoration Theory; studies on green space and social cohesion.</w:t>
      </w:r>
    </w:p>
    <w:p>
      <w:pPr>
        <w:pStyle w:val="Heading2"/>
        <w:spacing w:before="240" w:after="120"/>
      </w:pPr>
      <w:r>
        <w:rPr>
          <w:rFonts w:ascii="Arial" w:cs="Arial" w:eastAsia="Arial" w:hAnsi="Arial"/>
        </w:rPr>
        <w:t xml:space="preserve">4.8 Provenance Dimension</w:t>
      </w:r>
    </w:p>
    <w:p>
      <w:pPr>
        <w:spacing w:after="120" w:before="0"/>
        <w:jc w:val="left"/>
      </w:pPr>
      <w:r>
        <w:rPr>
          <w:rFonts w:ascii="Arial" w:cs="Arial" w:eastAsia="Arial" w:hAnsi="Arial"/>
          <w:b w:val="false"/>
          <w:bCs w:val="false"/>
          <w:i w:val="false"/>
          <w:iCs w:val="false"/>
          <w:color w:val="333333"/>
          <w:sz w:val="20"/>
          <w:szCs w:val="20"/>
        </w:rPr>
        <w:t xml:space="preserve">Tracks genetic diversity of the garden relative to the regional reference species count.</w:t>
      </w:r>
    </w:p>
    <w:p>
      <w:pPr>
        <w:spacing w:after="120" w:before="60"/>
        <w:ind w:left="360"/>
      </w:pPr>
      <w:r>
        <w:rPr>
          <w:rFonts w:ascii="Courier New" w:cs="Courier New" w:eastAsia="Courier New" w:hAnsi="Courier New"/>
          <w:color w:val="0A2540"/>
          <w:sz w:val="18"/>
          <w:szCs w:val="18"/>
        </w:rPr>
        <w:t xml:space="preserve">provenanceDiversity = speciesCount / zone.referenceSpecies</w:t>
      </w:r>
    </w:p>
    <w:p>
      <w:pPr>
        <w:spacing w:after="80"/>
      </w:pPr>
      <w:r>
        <w:rPr>
          <w:rFonts w:ascii="Arial" w:cs="Arial" w:eastAsia="Arial" w:hAnsi="Arial"/>
          <w:b/>
          <w:bCs/>
          <w:color w:val="0A2540"/>
          <w:sz w:val="20"/>
          <w:szCs w:val="20"/>
        </w:rPr>
        <w:t xml:space="preserve">Source: </w:t>
      </w:r>
      <w:r>
        <w:rPr>
          <w:rFonts w:ascii="Arial" w:cs="Arial" w:eastAsia="Arial" w:hAnsi="Arial"/>
          <w:color w:val="333333"/>
          <w:sz w:val="20"/>
          <w:szCs w:val="20"/>
        </w:rPr>
        <w:t xml:space="preserve">Lady Bird Johnson Wildflower Center species database; NPSOT regional plant lists.</w:t>
      </w:r>
    </w:p>
    <w:p>
      <w:r>
        <w:br w:type="page"/>
      </w:r>
    </w:p>
    <w:p>
      <w:pPr>
        <w:pStyle w:val="Heading1"/>
        <w:spacing w:before="360" w:after="120"/>
      </w:pPr>
      <w:r>
        <w:rPr>
          <w:rFonts w:ascii="Arial" w:cs="Arial" w:eastAsia="Arial" w:hAnsi="Arial"/>
        </w:rPr>
        <w:t xml:space="preserve">5. Trust &amp; Verification Scoring</w:t>
      </w:r>
    </w:p>
    <w:p>
      <w:pPr>
        <w:spacing w:after="120" w:before="0"/>
        <w:jc w:val="left"/>
      </w:pPr>
      <w:r>
        <w:rPr>
          <w:rFonts w:ascii="Arial" w:cs="Arial" w:eastAsia="Arial" w:hAnsi="Arial"/>
          <w:b w:val="false"/>
          <w:bCs w:val="false"/>
          <w:i w:val="false"/>
          <w:iCs w:val="false"/>
          <w:color w:val="333333"/>
          <w:sz w:val="20"/>
          <w:szCs w:val="20"/>
        </w:rPr>
        <w:t xml:space="preserve">Trust is the currency of the Holon network. The Trust Score reflects how well a garden’s stewardship commitments have been verified by the community. It is not a quality score—it measures verification depth, not garden beauty.</w:t>
      </w:r>
    </w:p>
    <w:p>
      <w:pPr>
        <w:pStyle w:val="Heading2"/>
        <w:spacing w:before="240" w:after="120"/>
      </w:pPr>
      <w:r>
        <w:rPr>
          <w:rFonts w:ascii="Arial" w:cs="Arial" w:eastAsia="Arial" w:hAnsi="Arial"/>
        </w:rPr>
        <w:t xml:space="preserve">5.1 Trust Score Formula</w:t>
      </w:r>
    </w:p>
    <w:p>
      <w:pPr>
        <w:spacing w:after="120" w:before="60"/>
        <w:ind w:left="360"/>
      </w:pPr>
      <w:r>
        <w:rPr>
          <w:rFonts w:ascii="Courier New" w:cs="Courier New" w:eastAsia="Courier New" w:hAnsi="Courier New"/>
          <w:color w:val="0A2540"/>
          <w:sz w:val="18"/>
          <w:szCs w:val="18"/>
        </w:rPr>
        <w:t xml:space="preserve">trustScore = MIN(100, commitmentAvg × 0.90 + walkBonus)</w:t>
      </w:r>
    </w:p>
    <w:p>
      <w:pPr>
        <w:spacing w:after="120" w:before="0"/>
        <w:jc w:val="left"/>
      </w:pPr>
      <w:r>
        <w:rPr>
          <w:rFonts w:ascii="Arial" w:cs="Arial" w:eastAsia="Arial" w:hAnsi="Arial"/>
          <w:b w:val="false"/>
          <w:bCs w:val="false"/>
          <w:i w:val="false"/>
          <w:iCs w:val="false"/>
          <w:color w:val="333333"/>
          <w:sz w:val="20"/>
          <w:szCs w:val="20"/>
        </w:rPr>
        <w:t xml:space="preserve">The score weights commitment verification at 90% and steward walk activity at 10%.</w:t>
      </w:r>
    </w:p>
    <w:p>
      <w:pPr>
        <w:pStyle w:val="Heading2"/>
        <w:spacing w:before="240" w:after="120"/>
      </w:pPr>
      <w:r>
        <w:rPr>
          <w:rFonts w:ascii="Arial" w:cs="Arial" w:eastAsia="Arial" w:hAnsi="Arial"/>
        </w:rPr>
        <w:t xml:space="preserve">5.2 Commitment Scoring</w:t>
      </w:r>
    </w:p>
    <w:p>
      <w:pPr>
        <w:spacing w:after="120" w:before="0"/>
        <w:jc w:val="left"/>
      </w:pPr>
      <w:r>
        <w:rPr>
          <w:rFonts w:ascii="Arial" w:cs="Arial" w:eastAsia="Arial" w:hAnsi="Arial"/>
          <w:b w:val="false"/>
          <w:bCs w:val="false"/>
          <w:i w:val="false"/>
          <w:iCs w:val="false"/>
          <w:color w:val="333333"/>
          <w:sz w:val="20"/>
          <w:szCs w:val="20"/>
        </w:rPr>
        <w:t xml:space="preserve">Each commitment receives points based on its verification level:</w:t>
      </w:r>
    </w:p>
    <w:p>
      <w:pPr>
        <w:pStyle w:val="ListParagraph"/>
        <w:numPr>
          <w:ilvl w:val="0"/>
          <w:numId w:val="2"/>
        </w:numPr>
        <w:spacing w:after="80"/>
      </w:pPr>
      <w:r>
        <w:rPr>
          <w:rFonts w:ascii="Arial" w:cs="Arial" w:eastAsia="Arial" w:hAnsi="Arial"/>
          <w:color w:val="333333"/>
          <w:sz w:val="20"/>
          <w:szCs w:val="20"/>
        </w:rPr>
        <w:t xml:space="preserve">L3 Expert Verified: 100 points</w:t>
      </w:r>
    </w:p>
    <w:p>
      <w:pPr>
        <w:pStyle w:val="ListParagraph"/>
        <w:numPr>
          <w:ilvl w:val="0"/>
          <w:numId w:val="2"/>
        </w:numPr>
        <w:spacing w:after="80"/>
      </w:pPr>
      <w:r>
        <w:rPr>
          <w:rFonts w:ascii="Arial" w:cs="Arial" w:eastAsia="Arial" w:hAnsi="Arial"/>
          <w:color w:val="333333"/>
          <w:sz w:val="20"/>
          <w:szCs w:val="20"/>
        </w:rPr>
        <w:t xml:space="preserve">L2 Peer-Verified: 70 × (0.5 + 0.5 × verifierCredibility/100) = 35–70 points</w:t>
      </w:r>
    </w:p>
    <w:p>
      <w:pPr>
        <w:pStyle w:val="ListParagraph"/>
        <w:numPr>
          <w:ilvl w:val="0"/>
          <w:numId w:val="2"/>
        </w:numPr>
        <w:spacing w:after="80"/>
      </w:pPr>
      <w:r>
        <w:rPr>
          <w:rFonts w:ascii="Arial" w:cs="Arial" w:eastAsia="Arial" w:hAnsi="Arial"/>
          <w:color w:val="333333"/>
          <w:sz w:val="20"/>
          <w:szCs w:val="20"/>
        </w:rPr>
        <w:t xml:space="preserve">L1 Self-Verified: 30 points</w:t>
      </w:r>
    </w:p>
    <w:p>
      <w:pPr>
        <w:pStyle w:val="ListParagraph"/>
        <w:numPr>
          <w:ilvl w:val="0"/>
          <w:numId w:val="2"/>
        </w:numPr>
        <w:spacing w:after="80"/>
      </w:pPr>
      <w:r>
        <w:rPr>
          <w:rFonts w:ascii="Arial" w:cs="Arial" w:eastAsia="Arial" w:hAnsi="Arial"/>
          <w:color w:val="333333"/>
          <w:sz w:val="20"/>
          <w:szCs w:val="20"/>
        </w:rPr>
        <w:t xml:space="preserve">Active/Pending: 0 points</w:t>
      </w:r>
    </w:p>
    <w:p>
      <w:pPr>
        <w:spacing w:after="120" w:before="0"/>
        <w:jc w:val="left"/>
      </w:pPr>
      <w:r>
        <w:rPr>
          <w:rFonts w:ascii="Arial" w:cs="Arial" w:eastAsia="Arial" w:hAnsi="Arial"/>
          <w:b w:val="false"/>
          <w:bCs w:val="false"/>
          <w:i w:val="false"/>
          <w:iCs w:val="false"/>
          <w:color w:val="333333"/>
          <w:sz w:val="20"/>
          <w:szCs w:val="20"/>
        </w:rPr>
        <w:t xml:space="preserve">The commitment average is the arithmetic mean across all commitments.</w:t>
      </w:r>
    </w:p>
    <w:p>
      <w:pPr>
        <w:pStyle w:val="Heading2"/>
        <w:spacing w:before="240" w:after="120"/>
      </w:pPr>
      <w:r>
        <w:rPr>
          <w:rFonts w:ascii="Arial" w:cs="Arial" w:eastAsia="Arial" w:hAnsi="Arial"/>
        </w:rPr>
        <w:t xml:space="preserve">5.3 Walk Bonus</w:t>
      </w:r>
    </w:p>
    <w:p>
      <w:pPr>
        <w:spacing w:after="120" w:before="0"/>
        <w:jc w:val="left"/>
      </w:pPr>
      <w:r>
        <w:rPr>
          <w:rFonts w:ascii="Arial" w:cs="Arial" w:eastAsia="Arial" w:hAnsi="Arial"/>
          <w:b w:val="false"/>
          <w:bCs w:val="false"/>
          <w:i w:val="false"/>
          <w:iCs w:val="false"/>
          <w:color w:val="333333"/>
          <w:sz w:val="20"/>
          <w:szCs w:val="20"/>
        </w:rPr>
        <w:t xml:space="preserve">Steward walks in the last 90 days contribute 1 point each, capped at 10 points. This rewards consistent physical engagement with the garden.</w:t>
      </w:r>
    </w:p>
    <w:p>
      <w:pPr>
        <w:pStyle w:val="Heading2"/>
        <w:spacing w:before="240" w:after="120"/>
      </w:pPr>
      <w:r>
        <w:rPr>
          <w:rFonts w:ascii="Arial" w:cs="Arial" w:eastAsia="Arial" w:hAnsi="Arial"/>
        </w:rPr>
        <w:t xml:space="preserve">5.4 Verifier Credibility</w:t>
      </w:r>
    </w:p>
    <w:p>
      <w:pPr>
        <w:spacing w:after="120" w:before="60"/>
        <w:ind w:left="360"/>
      </w:pPr>
      <w:r>
        <w:rPr>
          <w:rFonts w:ascii="Courier New" w:cs="Courier New" w:eastAsia="Courier New" w:hAnsi="Courier New"/>
          <w:color w:val="0A2540"/>
          <w:sz w:val="18"/>
          <w:szCs w:val="18"/>
        </w:rPr>
        <w:t xml:space="preserve">credibilityScore = 1.0 + (certified ? 0.10 : 0) + (verificationsCompleted × 0.01)</w:t>
      </w:r>
    </w:p>
    <w:p>
      <w:pPr>
        <w:spacing w:after="120" w:before="0"/>
        <w:jc w:val="left"/>
      </w:pPr>
      <w:r>
        <w:rPr>
          <w:rFonts w:ascii="Arial" w:cs="Arial" w:eastAsia="Arial" w:hAnsi="Arial"/>
          <w:b w:val="false"/>
          <w:bCs w:val="false"/>
          <w:i w:val="false"/>
          <w:iCs w:val="false"/>
          <w:color w:val="333333"/>
          <w:sz w:val="20"/>
          <w:szCs w:val="20"/>
        </w:rPr>
        <w:t xml:space="preserve">Individual verifier credibility starts at 1.0 and grows with experience and certification, capped at 2.0. The overall credibility score is scaled: avg 1.0 = 50, avg 2.0 = 100.</w:t>
      </w:r>
    </w:p>
    <w:p>
      <w:r>
        <w:br w:type="page"/>
      </w:r>
    </w:p>
    <w:p>
      <w:pPr>
        <w:pStyle w:val="Heading1"/>
        <w:spacing w:before="360" w:after="120"/>
      </w:pPr>
      <w:r>
        <w:rPr>
          <w:rFonts w:ascii="Arial" w:cs="Arial" w:eastAsia="Arial" w:hAnsi="Arial"/>
        </w:rPr>
        <w:t xml:space="preserve">6. Ecological Assessment Modules</w:t>
      </w:r>
    </w:p>
    <w:p>
      <w:pPr>
        <w:spacing w:after="120" w:before="0"/>
        <w:jc w:val="left"/>
      </w:pPr>
      <w:r>
        <w:rPr>
          <w:rFonts w:ascii="Arial" w:cs="Arial" w:eastAsia="Arial" w:hAnsi="Arial"/>
          <w:b w:val="false"/>
          <w:bCs w:val="false"/>
          <w:i w:val="false"/>
          <w:iCs w:val="false"/>
          <w:color w:val="333333"/>
          <w:sz w:val="20"/>
          <w:szCs w:val="20"/>
        </w:rPr>
        <w:t xml:space="preserve">The platform includes 11 specialized ecological assessment modules, each producing scores that feed into the Ecological Vitality Index (EVI). These modules are organized in ecological-modules.js (4,069 lines).</w:t>
      </w:r>
    </w:p>
    <w:p>
      <w:pPr>
        <w:pStyle w:val="Heading2"/>
        <w:spacing w:before="240" w:after="120"/>
      </w:pPr>
      <w:r>
        <w:rPr>
          <w:rFonts w:ascii="Arial" w:cs="Arial" w:eastAsia="Arial" w:hAnsi="Arial"/>
        </w:rPr>
        <w:t xml:space="preserve">6.1 Habitat Assessment (4-Pillar)</w:t>
      </w:r>
    </w:p>
    <w:p>
      <w:pPr>
        <w:spacing w:after="120" w:before="0"/>
        <w:jc w:val="left"/>
      </w:pPr>
      <w:r>
        <w:rPr>
          <w:rFonts w:ascii="Arial" w:cs="Arial" w:eastAsia="Arial" w:hAnsi="Arial"/>
          <w:b w:val="false"/>
          <w:bCs w:val="false"/>
          <w:i w:val="false"/>
          <w:iCs w:val="false"/>
          <w:color w:val="333333"/>
          <w:sz w:val="20"/>
          <w:szCs w:val="20"/>
        </w:rPr>
        <w:t xml:space="preserve">Evaluates four fundamental habitat requirements, each scored 0–25 points (total max: 100):</w:t>
      </w:r>
    </w:p>
    <w:p>
      <w:pPr>
        <w:pStyle w:val="ListParagraph"/>
        <w:numPr>
          <w:ilvl w:val="0"/>
          <w:numId w:val="2"/>
        </w:numPr>
        <w:spacing w:after="80"/>
      </w:pPr>
      <w:r>
        <w:rPr>
          <w:rFonts w:ascii="Arial" w:cs="Arial" w:eastAsia="Arial" w:hAnsi="Arial"/>
          <w:color w:val="333333"/>
          <w:sz w:val="20"/>
          <w:szCs w:val="20"/>
        </w:rPr>
        <w:t xml:space="preserve">Sustenance (Food): Native food plants, seasonal berry/fruit, seed-producing plants, nectar sources, larval host plants</w:t>
      </w:r>
    </w:p>
    <w:p>
      <w:pPr>
        <w:pStyle w:val="ListParagraph"/>
        <w:numPr>
          <w:ilvl w:val="0"/>
          <w:numId w:val="2"/>
        </w:numPr>
        <w:spacing w:after="80"/>
      </w:pPr>
      <w:r>
        <w:rPr>
          <w:rFonts w:ascii="Arial" w:cs="Arial" w:eastAsia="Arial" w:hAnsi="Arial"/>
          <w:color w:val="333333"/>
          <w:sz w:val="20"/>
          <w:szCs w:val="20"/>
        </w:rPr>
        <w:t xml:space="preserve">Hydration (Water): Permanent water features, seasonal water sources, rain gardens, moving water, water depth variety</w:t>
      </w:r>
    </w:p>
    <w:p>
      <w:pPr>
        <w:pStyle w:val="ListParagraph"/>
        <w:numPr>
          <w:ilvl w:val="0"/>
          <w:numId w:val="2"/>
        </w:numPr>
        <w:spacing w:after="80"/>
      </w:pPr>
      <w:r>
        <w:rPr>
          <w:rFonts w:ascii="Arial" w:cs="Arial" w:eastAsia="Arial" w:hAnsi="Arial"/>
          <w:color w:val="333333"/>
          <w:sz w:val="20"/>
          <w:szCs w:val="20"/>
        </w:rPr>
        <w:t xml:space="preserve">Refuge (Shelter): Dense shrub layer, evergreen cover, brush/rock piles, ground cover, tall grass patches</w:t>
      </w:r>
    </w:p>
    <w:p>
      <w:pPr>
        <w:pStyle w:val="ListParagraph"/>
        <w:numPr>
          <w:ilvl w:val="0"/>
          <w:numId w:val="2"/>
        </w:numPr>
        <w:spacing w:after="80"/>
      </w:pPr>
      <w:r>
        <w:rPr>
          <w:rFonts w:ascii="Arial" w:cs="Arial" w:eastAsia="Arial" w:hAnsi="Arial"/>
          <w:color w:val="333333"/>
          <w:sz w:val="20"/>
          <w:szCs w:val="20"/>
        </w:rPr>
        <w:t xml:space="preserve">Continuity (Breeding): Nesting sites, cavity trees, host plants, safe corridors, undisturbed areas</w:t>
      </w:r>
    </w:p>
    <w:p>
      <w:pPr>
        <w:spacing w:after="80"/>
      </w:pPr>
      <w:r>
        <w:rPr>
          <w:rFonts w:ascii="Arial" w:cs="Arial" w:eastAsia="Arial" w:hAnsi="Arial"/>
          <w:b/>
          <w:bCs/>
          <w:color w:val="0A2540"/>
          <w:sz w:val="20"/>
          <w:szCs w:val="20"/>
        </w:rPr>
        <w:t xml:space="preserve">Source: </w:t>
      </w:r>
      <w:r>
        <w:rPr>
          <w:rFonts w:ascii="Arial" w:cs="Arial" w:eastAsia="Arial" w:hAnsi="Arial"/>
          <w:color w:val="333333"/>
          <w:sz w:val="20"/>
          <w:szCs w:val="20"/>
        </w:rPr>
        <w:t xml:space="preserve">National Wildlife Federation Certified Wildlife Habitat criteria.</w:t>
      </w:r>
    </w:p>
    <w:p>
      <w:pPr>
        <w:pStyle w:val="Heading2"/>
        <w:spacing w:before="240" w:after="120"/>
      </w:pPr>
      <w:r>
        <w:rPr>
          <w:rFonts w:ascii="Arial" w:cs="Arial" w:eastAsia="Arial" w:hAnsi="Arial"/>
        </w:rPr>
        <w:t xml:space="preserve">6.2 Native Palette Analysis</w:t>
      </w:r>
    </w:p>
    <w:p>
      <w:pPr>
        <w:spacing w:after="120" w:before="0"/>
        <w:jc w:val="left"/>
      </w:pPr>
      <w:r>
        <w:rPr>
          <w:rFonts w:ascii="Arial" w:cs="Arial" w:eastAsia="Arial" w:hAnsi="Arial"/>
          <w:b w:val="false"/>
          <w:bCs w:val="false"/>
          <w:i w:val="false"/>
          <w:iCs w:val="false"/>
          <w:color w:val="333333"/>
          <w:sz w:val="20"/>
          <w:szCs w:val="20"/>
        </w:rPr>
        <w:t xml:space="preserve">Cross-references the garden’s species list against the KEYSTONE_PLANTS database to calculate native ratio, straight species ratio, and layer diversity (0–5 vegetation layers). Uses a tier system: Horizon (&lt;25% native), Restoration (25–49%), Integration (50–69%), Keystone (70–89%), Legacy (90%+).</w:t>
      </w:r>
    </w:p>
    <w:p>
      <w:pPr>
        <w:spacing w:after="80"/>
      </w:pPr>
      <w:r>
        <w:rPr>
          <w:rFonts w:ascii="Arial" w:cs="Arial" w:eastAsia="Arial" w:hAnsi="Arial"/>
          <w:b/>
          <w:bCs/>
          <w:color w:val="0A2540"/>
          <w:sz w:val="20"/>
          <w:szCs w:val="20"/>
        </w:rPr>
        <w:t xml:space="preserve">Source: </w:t>
      </w:r>
      <w:r>
        <w:rPr>
          <w:rFonts w:ascii="Arial" w:cs="Arial" w:eastAsia="Arial" w:hAnsi="Arial"/>
          <w:color w:val="333333"/>
          <w:sz w:val="20"/>
          <w:szCs w:val="20"/>
        </w:rPr>
        <w:t xml:space="preserve">Doug Tallamy’s keystone species research; NWF native plant recommendations.</w:t>
      </w:r>
    </w:p>
    <w:p>
      <w:pPr>
        <w:pStyle w:val="Heading2"/>
        <w:spacing w:before="240" w:after="120"/>
      </w:pPr>
      <w:r>
        <w:rPr>
          <w:rFonts w:ascii="Arial" w:cs="Arial" w:eastAsia="Arial" w:hAnsi="Arial"/>
        </w:rPr>
        <w:t xml:space="preserve">6.3 Pollinator Assessment</w:t>
      </w:r>
    </w:p>
    <w:p>
      <w:pPr>
        <w:spacing w:after="120" w:before="0"/>
        <w:jc w:val="left"/>
      </w:pPr>
      <w:r>
        <w:rPr>
          <w:rFonts w:ascii="Arial" w:cs="Arial" w:eastAsia="Arial" w:hAnsi="Arial"/>
          <w:b w:val="false"/>
          <w:bCs w:val="false"/>
          <w:i w:val="false"/>
          <w:iCs w:val="false"/>
          <w:color w:val="333333"/>
          <w:sz w:val="20"/>
          <w:szCs w:val="20"/>
        </w:rPr>
        <w:t xml:space="preserve">Evaluates bloom continuity across 12 months, nesting resources (bare soil, pithy stems, wood cavities, leaf litter, mud), water access, and pesticide-free status. Bloom gaps are auto-detected from species data.</w:t>
      </w:r>
    </w:p>
    <w:p>
      <w:pPr>
        <w:spacing w:after="80"/>
      </w:pPr>
      <w:r>
        <w:rPr>
          <w:rFonts w:ascii="Arial" w:cs="Arial" w:eastAsia="Arial" w:hAnsi="Arial"/>
          <w:b/>
          <w:bCs/>
          <w:color w:val="0A2540"/>
          <w:sz w:val="20"/>
          <w:szCs w:val="20"/>
        </w:rPr>
        <w:t xml:space="preserve">Source: </w:t>
      </w:r>
      <w:r>
        <w:rPr>
          <w:rFonts w:ascii="Arial" w:cs="Arial" w:eastAsia="Arial" w:hAnsi="Arial"/>
          <w:color w:val="333333"/>
          <w:sz w:val="20"/>
          <w:szCs w:val="20"/>
        </w:rPr>
        <w:t xml:space="preserve">Xerces Society Pollinator Conservation guidelines; Pollinator Partnership ecoregional planting guides.</w:t>
      </w:r>
    </w:p>
    <w:p>
      <w:pPr>
        <w:pStyle w:val="Heading2"/>
        <w:spacing w:before="240" w:after="120"/>
      </w:pPr>
      <w:r>
        <w:rPr>
          <w:rFonts w:ascii="Arial" w:cs="Arial" w:eastAsia="Arial" w:hAnsi="Arial"/>
        </w:rPr>
        <w:t xml:space="preserve">6.4 Avian Habitat Assessment</w:t>
      </w:r>
    </w:p>
    <w:p>
      <w:pPr>
        <w:spacing w:after="120" w:before="0"/>
        <w:jc w:val="left"/>
      </w:pPr>
      <w:r>
        <w:rPr>
          <w:rFonts w:ascii="Arial" w:cs="Arial" w:eastAsia="Arial" w:hAnsi="Arial"/>
          <w:b w:val="false"/>
          <w:bCs w:val="false"/>
          <w:i w:val="false"/>
          <w:iCs w:val="false"/>
          <w:color w:val="333333"/>
          <w:sz w:val="20"/>
          <w:szCs w:val="20"/>
        </w:rPr>
        <w:t xml:space="preserve">Evaluates food diversity, water features, shelter/nesting, and threat mitigation for bird habitat. Produces a composite score from four sub-dimensions.</w:t>
      </w:r>
    </w:p>
    <w:p>
      <w:pPr>
        <w:spacing w:after="80"/>
      </w:pPr>
      <w:r>
        <w:rPr>
          <w:rFonts w:ascii="Arial" w:cs="Arial" w:eastAsia="Arial" w:hAnsi="Arial"/>
          <w:b/>
          <w:bCs/>
          <w:color w:val="0A2540"/>
          <w:sz w:val="20"/>
          <w:szCs w:val="20"/>
        </w:rPr>
        <w:t xml:space="preserve">Source: </w:t>
      </w:r>
      <w:r>
        <w:rPr>
          <w:rFonts w:ascii="Arial" w:cs="Arial" w:eastAsia="Arial" w:hAnsi="Arial"/>
          <w:color w:val="333333"/>
          <w:sz w:val="20"/>
          <w:szCs w:val="20"/>
        </w:rPr>
        <w:t xml:space="preserve">Cornell Lab of Ornithology habitat guidelines; Houston Audubon Bird-Friendly practices.</w:t>
      </w:r>
    </w:p>
    <w:p>
      <w:pPr>
        <w:pStyle w:val="Heading2"/>
        <w:spacing w:before="240" w:after="120"/>
      </w:pPr>
      <w:r>
        <w:rPr>
          <w:rFonts w:ascii="Arial" w:cs="Arial" w:eastAsia="Arial" w:hAnsi="Arial"/>
        </w:rPr>
        <w:t xml:space="preserve">6.5 Soil Vitality Assessment</w:t>
      </w:r>
    </w:p>
    <w:p>
      <w:pPr>
        <w:spacing w:after="120" w:before="0"/>
        <w:jc w:val="left"/>
      </w:pPr>
      <w:r>
        <w:rPr>
          <w:rFonts w:ascii="Arial" w:cs="Arial" w:eastAsia="Arial" w:hAnsi="Arial"/>
          <w:b w:val="false"/>
          <w:bCs w:val="false"/>
          <w:i w:val="false"/>
          <w:iCs w:val="false"/>
          <w:color w:val="333333"/>
          <w:sz w:val="20"/>
          <w:szCs w:val="20"/>
        </w:rPr>
        <w:t xml:space="preserve">Assesses organic matter practices, soil biology indicators, structural health, and contamination risk. Each dimension scored 0–5 checklist items.</w:t>
      </w:r>
    </w:p>
    <w:p>
      <w:pPr>
        <w:spacing w:after="80"/>
      </w:pPr>
      <w:r>
        <w:rPr>
          <w:rFonts w:ascii="Arial" w:cs="Arial" w:eastAsia="Arial" w:hAnsi="Arial"/>
          <w:b/>
          <w:bCs/>
          <w:color w:val="0A2540"/>
          <w:sz w:val="20"/>
          <w:szCs w:val="20"/>
        </w:rPr>
        <w:t xml:space="preserve">Source: </w:t>
      </w:r>
      <w:r>
        <w:rPr>
          <w:rFonts w:ascii="Arial" w:cs="Arial" w:eastAsia="Arial" w:hAnsi="Arial"/>
          <w:color w:val="333333"/>
          <w:sz w:val="20"/>
          <w:szCs w:val="20"/>
        </w:rPr>
        <w:t xml:space="preserve">USDA Soil Health principles; NOFA Organic Land Care standards.</w:t>
      </w:r>
    </w:p>
    <w:p>
      <w:pPr>
        <w:pStyle w:val="Heading2"/>
        <w:spacing w:before="240" w:after="120"/>
      </w:pPr>
      <w:r>
        <w:rPr>
          <w:rFonts w:ascii="Arial" w:cs="Arial" w:eastAsia="Arial" w:hAnsi="Arial"/>
        </w:rPr>
        <w:t xml:space="preserve">6.6 Living Census</w:t>
      </w:r>
    </w:p>
    <w:p>
      <w:pPr>
        <w:spacing w:after="120" w:before="0"/>
        <w:jc w:val="left"/>
      </w:pPr>
      <w:r>
        <w:rPr>
          <w:rFonts w:ascii="Arial" w:cs="Arial" w:eastAsia="Arial" w:hAnsi="Arial"/>
          <w:b w:val="false"/>
          <w:bCs w:val="false"/>
          <w:i w:val="false"/>
          <w:iCs w:val="false"/>
          <w:color w:val="333333"/>
          <w:sz w:val="20"/>
          <w:szCs w:val="20"/>
        </w:rPr>
        <w:t xml:space="preserve">Tracks observed wildlife across five taxonomic groups: birds, butterflies/moths, bees/wasps, other insects, and other wildlife. Each sighting is recorded with date, count, behavior, and optional photo evidence. Richness score = unique species observed.</w:t>
      </w:r>
    </w:p>
    <w:p>
      <w:pPr>
        <w:pStyle w:val="Heading2"/>
        <w:spacing w:before="240" w:after="120"/>
      </w:pPr>
      <w:r>
        <w:rPr>
          <w:rFonts w:ascii="Arial" w:cs="Arial" w:eastAsia="Arial" w:hAnsi="Arial"/>
        </w:rPr>
        <w:t xml:space="preserve">6.7 Care Log</w:t>
      </w:r>
    </w:p>
    <w:p>
      <w:pPr>
        <w:spacing w:after="120" w:before="0"/>
        <w:jc w:val="left"/>
      </w:pPr>
      <w:r>
        <w:rPr>
          <w:rFonts w:ascii="Arial" w:cs="Arial" w:eastAsia="Arial" w:hAnsi="Arial"/>
          <w:b w:val="false"/>
          <w:bCs w:val="false"/>
          <w:i w:val="false"/>
          <w:iCs w:val="false"/>
          <w:color w:val="333333"/>
          <w:sz w:val="20"/>
          <w:szCs w:val="20"/>
        </w:rPr>
        <w:t xml:space="preserve">Tracks stewardship activities across eight practice categories: watering, planting, weeding, mulching, pruning, observing, soil work, and other. Frequency and consistency metrics are derived from log patterns over time.</w:t>
      </w:r>
    </w:p>
    <w:p>
      <w:pPr>
        <w:pStyle w:val="Heading2"/>
        <w:spacing w:before="240" w:after="120"/>
      </w:pPr>
      <w:r>
        <w:rPr>
          <w:rFonts w:ascii="Arial" w:cs="Arial" w:eastAsia="Arial" w:hAnsi="Arial"/>
        </w:rPr>
        <w:t xml:space="preserve">6.8 Hydric Stewardship</w:t>
      </w:r>
    </w:p>
    <w:p>
      <w:pPr>
        <w:spacing w:after="120" w:before="0"/>
        <w:jc w:val="left"/>
      </w:pPr>
      <w:r>
        <w:rPr>
          <w:rFonts w:ascii="Arial" w:cs="Arial" w:eastAsia="Arial" w:hAnsi="Arial"/>
          <w:b w:val="false"/>
          <w:bCs w:val="false"/>
          <w:i w:val="false"/>
          <w:iCs w:val="false"/>
          <w:color w:val="333333"/>
          <w:sz w:val="20"/>
          <w:szCs w:val="20"/>
        </w:rPr>
        <w:t xml:space="preserve">Evaluates water capture infrastructure, irrigation efficiency, drainage management, and water quality practices. Each of four dimensions scored 0–25 points (total max: 100).</w:t>
      </w:r>
    </w:p>
    <w:p>
      <w:pPr>
        <w:spacing w:after="80"/>
      </w:pPr>
      <w:r>
        <w:rPr>
          <w:rFonts w:ascii="Arial" w:cs="Arial" w:eastAsia="Arial" w:hAnsi="Arial"/>
          <w:b/>
          <w:bCs/>
          <w:color w:val="0A2540"/>
          <w:sz w:val="20"/>
          <w:szCs w:val="20"/>
        </w:rPr>
        <w:t xml:space="preserve">Source: </w:t>
      </w:r>
      <w:r>
        <w:rPr>
          <w:rFonts w:ascii="Arial" w:cs="Arial" w:eastAsia="Arial" w:hAnsi="Arial"/>
          <w:color w:val="333333"/>
          <w:sz w:val="20"/>
          <w:szCs w:val="20"/>
        </w:rPr>
        <w:t xml:space="preserve">EPA green infrastructure guidance; rain garden performance studies.</w:t>
      </w:r>
    </w:p>
    <w:p>
      <w:pPr>
        <w:pStyle w:val="Heading2"/>
        <w:spacing w:before="240" w:after="120"/>
      </w:pPr>
      <w:r>
        <w:rPr>
          <w:rFonts w:ascii="Arial" w:cs="Arial" w:eastAsia="Arial" w:hAnsi="Arial"/>
        </w:rPr>
        <w:t xml:space="preserve">6.9 Thermal Refuge</w:t>
      </w:r>
    </w:p>
    <w:p>
      <w:pPr>
        <w:spacing w:after="120" w:before="0"/>
        <w:jc w:val="left"/>
      </w:pPr>
      <w:r>
        <w:rPr>
          <w:rFonts w:ascii="Arial" w:cs="Arial" w:eastAsia="Arial" w:hAnsi="Arial"/>
          <w:b w:val="false"/>
          <w:bCs w:val="false"/>
          <w:i w:val="false"/>
          <w:iCs w:val="false"/>
          <w:color w:val="333333"/>
          <w:sz w:val="20"/>
          <w:szCs w:val="20"/>
        </w:rPr>
        <w:t xml:space="preserve">Assesses canopy coverage, surface temperature mitigation, microclimate management, and thermal resilience. Scored across four sub-dimensions.</w:t>
      </w:r>
    </w:p>
    <w:p>
      <w:pPr>
        <w:spacing w:after="80"/>
      </w:pPr>
      <w:r>
        <w:rPr>
          <w:rFonts w:ascii="Arial" w:cs="Arial" w:eastAsia="Arial" w:hAnsi="Arial"/>
          <w:b/>
          <w:bCs/>
          <w:color w:val="0A2540"/>
          <w:sz w:val="20"/>
          <w:szCs w:val="20"/>
        </w:rPr>
        <w:t xml:space="preserve">Source: </w:t>
      </w:r>
      <w:r>
        <w:rPr>
          <w:rFonts w:ascii="Arial" w:cs="Arial" w:eastAsia="Arial" w:hAnsi="Arial"/>
          <w:color w:val="333333"/>
          <w:sz w:val="20"/>
          <w:szCs w:val="20"/>
        </w:rPr>
        <w:t xml:space="preserve">EPA Urban Heat Island research; American Forests canopy studies.</w:t>
      </w:r>
    </w:p>
    <w:p>
      <w:pPr>
        <w:pStyle w:val="Heading2"/>
        <w:spacing w:before="240" w:after="120"/>
      </w:pPr>
      <w:r>
        <w:rPr>
          <w:rFonts w:ascii="Arial" w:cs="Arial" w:eastAsia="Arial" w:hAnsi="Arial"/>
        </w:rPr>
        <w:t xml:space="preserve">6.10 Dark Sky Assessment</w:t>
      </w:r>
    </w:p>
    <w:p>
      <w:pPr>
        <w:spacing w:after="120" w:before="0"/>
        <w:jc w:val="left"/>
      </w:pPr>
      <w:r>
        <w:rPr>
          <w:rFonts w:ascii="Arial" w:cs="Arial" w:eastAsia="Arial" w:hAnsi="Arial"/>
          <w:b w:val="false"/>
          <w:bCs w:val="false"/>
          <w:i w:val="false"/>
          <w:iCs w:val="false"/>
          <w:color w:val="333333"/>
          <w:sz w:val="20"/>
          <w:szCs w:val="20"/>
        </w:rPr>
        <w:t xml:space="preserve">Evaluates outdoor lighting practices against DarkSky International standards: fixture types (shielded vs. unshielded), color temperature, timing controls, and light trespass. Five-item checklist with bonus points for DarkSky-certified fixtures.</w:t>
      </w:r>
    </w:p>
    <w:p>
      <w:pPr>
        <w:spacing w:after="80"/>
      </w:pPr>
      <w:r>
        <w:rPr>
          <w:rFonts w:ascii="Arial" w:cs="Arial" w:eastAsia="Arial" w:hAnsi="Arial"/>
          <w:b/>
          <w:bCs/>
          <w:color w:val="0A2540"/>
          <w:sz w:val="20"/>
          <w:szCs w:val="20"/>
        </w:rPr>
        <w:t xml:space="preserve">Source: </w:t>
      </w:r>
      <w:r>
        <w:rPr>
          <w:rFonts w:ascii="Arial" w:cs="Arial" w:eastAsia="Arial" w:hAnsi="Arial"/>
          <w:color w:val="333333"/>
          <w:sz w:val="20"/>
          <w:szCs w:val="20"/>
        </w:rPr>
        <w:t xml:space="preserve">DarkSky International Five Principles of Responsible Outdoor Lighting.</w:t>
      </w:r>
    </w:p>
    <w:p>
      <w:pPr>
        <w:pStyle w:val="Heading2"/>
        <w:spacing w:before="240" w:after="120"/>
      </w:pPr>
      <w:r>
        <w:rPr>
          <w:rFonts w:ascii="Arial" w:cs="Arial" w:eastAsia="Arial" w:hAnsi="Arial"/>
        </w:rPr>
        <w:t xml:space="preserve">6.11 Bio-Audit</w:t>
      </w:r>
    </w:p>
    <w:p>
      <w:pPr>
        <w:spacing w:after="120" w:before="0"/>
        <w:jc w:val="left"/>
      </w:pPr>
      <w:r>
        <w:rPr>
          <w:rFonts w:ascii="Arial" w:cs="Arial" w:eastAsia="Arial" w:hAnsi="Arial"/>
          <w:b w:val="false"/>
          <w:bCs w:val="false"/>
          <w:i w:val="false"/>
          <w:iCs w:val="false"/>
          <w:color w:val="333333"/>
          <w:sz w:val="20"/>
          <w:szCs w:val="20"/>
        </w:rPr>
        <w:t xml:space="preserve">Comprehensive seasonal biodiversity audit covering: species richness progression, reproductive evidence, trophic interactions, indicator species presence, and disturbance assessment. Designed to be conducted quarterly for trend analysis.</w:t>
      </w:r>
    </w:p>
    <w:p>
      <w:r>
        <w:br w:type="page"/>
      </w:r>
    </w:p>
    <w:p>
      <w:pPr>
        <w:pStyle w:val="Heading1"/>
        <w:spacing w:before="360" w:after="120"/>
      </w:pPr>
      <w:r>
        <w:rPr>
          <w:rFonts w:ascii="Arial" w:cs="Arial" w:eastAsia="Arial" w:hAnsi="Arial"/>
        </w:rPr>
        <w:t xml:space="preserve">7. Ecological Vitality Index (EVI)</w:t>
      </w:r>
    </w:p>
    <w:p>
      <w:pPr>
        <w:spacing w:after="120" w:before="0"/>
        <w:jc w:val="left"/>
      </w:pPr>
      <w:r>
        <w:rPr>
          <w:rFonts w:ascii="Arial" w:cs="Arial" w:eastAsia="Arial" w:hAnsi="Arial"/>
          <w:b w:val="false"/>
          <w:bCs w:val="false"/>
          <w:i w:val="false"/>
          <w:iCs w:val="false"/>
          <w:color w:val="333333"/>
          <w:sz w:val="20"/>
          <w:szCs w:val="20"/>
        </w:rPr>
        <w:t xml:space="preserve">The EVI is a 7-component composite score that aggregates ecological assessment results into a single vitality indicator. Maximum theoretical score: 105 points, capped at 100 for display.</w:t>
      </w:r>
    </w:p>
    <w:p>
      <w:pPr>
        <w:pStyle w:val="Heading2"/>
        <w:spacing w:before="240" w:after="120"/>
      </w:pPr>
      <w:r>
        <w:rPr>
          <w:rFonts w:ascii="Arial" w:cs="Arial" w:eastAsia="Arial" w:hAnsi="Arial"/>
        </w:rPr>
        <w:t xml:space="preserve">7.1 EVI Components</w:t>
      </w:r>
    </w:p>
    <w:p>
      <w:pPr>
        <w:pStyle w:val="ListParagraph"/>
        <w:numPr>
          <w:ilvl w:val="0"/>
          <w:numId w:val="2"/>
        </w:numPr>
        <w:spacing w:after="80"/>
      </w:pPr>
      <w:r>
        <w:rPr>
          <w:rFonts w:ascii="Arial" w:cs="Arial" w:eastAsia="Arial" w:hAnsi="Arial"/>
          <w:color w:val="333333"/>
          <w:sz w:val="20"/>
          <w:szCs w:val="20"/>
        </w:rPr>
        <w:t xml:space="preserve">Habitat Score: max 15 points = (habitatTotal / 100) × 15</w:t>
      </w:r>
    </w:p>
    <w:p>
      <w:pPr>
        <w:pStyle w:val="ListParagraph"/>
        <w:numPr>
          <w:ilvl w:val="0"/>
          <w:numId w:val="2"/>
        </w:numPr>
        <w:spacing w:after="80"/>
      </w:pPr>
      <w:r>
        <w:rPr>
          <w:rFonts w:ascii="Arial" w:cs="Arial" w:eastAsia="Arial" w:hAnsi="Arial"/>
          <w:color w:val="333333"/>
          <w:sz w:val="20"/>
          <w:szCs w:val="20"/>
        </w:rPr>
        <w:t xml:space="preserve">Native Integrity: max 15 points = (nativeRatio / 100) × 15</w:t>
      </w:r>
    </w:p>
    <w:p>
      <w:pPr>
        <w:pStyle w:val="ListParagraph"/>
        <w:numPr>
          <w:ilvl w:val="0"/>
          <w:numId w:val="2"/>
        </w:numPr>
        <w:spacing w:after="80"/>
      </w:pPr>
      <w:r>
        <w:rPr>
          <w:rFonts w:ascii="Arial" w:cs="Arial" w:eastAsia="Arial" w:hAnsi="Arial"/>
          <w:color w:val="333333"/>
          <w:sz w:val="20"/>
          <w:szCs w:val="20"/>
        </w:rPr>
        <w:t xml:space="preserve">Pollinator Health: max 15 points = (pollinatorTotal / 100) × 15</w:t>
      </w:r>
    </w:p>
    <w:p>
      <w:pPr>
        <w:pStyle w:val="ListParagraph"/>
        <w:numPr>
          <w:ilvl w:val="0"/>
          <w:numId w:val="2"/>
        </w:numPr>
        <w:spacing w:after="80"/>
      </w:pPr>
      <w:r>
        <w:rPr>
          <w:rFonts w:ascii="Arial" w:cs="Arial" w:eastAsia="Arial" w:hAnsi="Arial"/>
          <w:color w:val="333333"/>
          <w:sz w:val="20"/>
          <w:szCs w:val="20"/>
        </w:rPr>
        <w:t xml:space="preserve">Soil Vitality: max 15 points = (soilTotal / 100) × 15</w:t>
      </w:r>
    </w:p>
    <w:p>
      <w:pPr>
        <w:pStyle w:val="ListParagraph"/>
        <w:numPr>
          <w:ilvl w:val="0"/>
          <w:numId w:val="2"/>
        </w:numPr>
        <w:spacing w:after="80"/>
      </w:pPr>
      <w:r>
        <w:rPr>
          <w:rFonts w:ascii="Arial" w:cs="Arial" w:eastAsia="Arial" w:hAnsi="Arial"/>
          <w:color w:val="333333"/>
          <w:sz w:val="20"/>
          <w:szCs w:val="20"/>
        </w:rPr>
        <w:t xml:space="preserve">Hydric Stewardship: max 15 points = (hydricTotal / 100) × 15</w:t>
      </w:r>
    </w:p>
    <w:p>
      <w:pPr>
        <w:pStyle w:val="ListParagraph"/>
        <w:numPr>
          <w:ilvl w:val="0"/>
          <w:numId w:val="2"/>
        </w:numPr>
        <w:spacing w:after="80"/>
      </w:pPr>
      <w:r>
        <w:rPr>
          <w:rFonts w:ascii="Arial" w:cs="Arial" w:eastAsia="Arial" w:hAnsi="Arial"/>
          <w:color w:val="333333"/>
          <w:sz w:val="20"/>
          <w:szCs w:val="20"/>
        </w:rPr>
        <w:t xml:space="preserve">Biodiversity Observed: max 15 points = MIN(15, livingCensusCount / 2)</w:t>
      </w:r>
    </w:p>
    <w:p>
      <w:pPr>
        <w:pStyle w:val="ListParagraph"/>
        <w:numPr>
          <w:ilvl w:val="0"/>
          <w:numId w:val="2"/>
        </w:numPr>
        <w:spacing w:after="80"/>
      </w:pPr>
      <w:r>
        <w:rPr>
          <w:rFonts w:ascii="Arial" w:cs="Arial" w:eastAsia="Arial" w:hAnsi="Arial"/>
          <w:color w:val="333333"/>
          <w:sz w:val="20"/>
          <w:szCs w:val="20"/>
        </w:rPr>
        <w:t xml:space="preserve">Care Consistency: max 15 points = MIN(15, careLogCount / 3)</w:t>
      </w:r>
    </w:p>
    <w:p>
      <w:pPr>
        <w:pStyle w:val="Heading2"/>
        <w:spacing w:before="240" w:after="120"/>
      </w:pPr>
      <w:r>
        <w:rPr>
          <w:rFonts w:ascii="Arial" w:cs="Arial" w:eastAsia="Arial" w:hAnsi="Arial"/>
        </w:rPr>
        <w:t xml:space="preserve">7.2 Final EVI Calculation</w:t>
      </w:r>
    </w:p>
    <w:p>
      <w:pPr>
        <w:spacing w:after="120" w:before="60"/>
        <w:ind w:left="360"/>
      </w:pPr>
      <w:r>
        <w:rPr>
          <w:rFonts w:ascii="Courier New" w:cs="Courier New" w:eastAsia="Courier New" w:hAnsi="Courier New"/>
          <w:color w:val="0A2540"/>
          <w:sz w:val="18"/>
          <w:szCs w:val="18"/>
        </w:rPr>
        <w:t xml:space="preserve">EVI = MIN(100, sum of all 7 components)</w:t>
      </w:r>
    </w:p>
    <w:p>
      <w:pPr>
        <w:spacing w:after="120" w:before="0"/>
        <w:jc w:val="left"/>
      </w:pPr>
      <w:r>
        <w:rPr>
          <w:rFonts w:ascii="Arial" w:cs="Arial" w:eastAsia="Arial" w:hAnsi="Arial"/>
          <w:b w:val="false"/>
          <w:bCs w:val="false"/>
          <w:i w:val="false"/>
          <w:iCs w:val="false"/>
          <w:color w:val="333333"/>
          <w:sz w:val="20"/>
          <w:szCs w:val="20"/>
        </w:rPr>
        <w:t xml:space="preserve">The index is intentionally additive and transparent: each component’s contribution can be traced back to specific assessment data entered by the steward.</w:t>
      </w:r>
    </w:p>
    <w:p>
      <w:pPr>
        <w:spacing w:after="80"/>
      </w:pPr>
      <w:r>
        <w:rPr>
          <w:rFonts w:ascii="Arial" w:cs="Arial" w:eastAsia="Arial" w:hAnsi="Arial"/>
          <w:b/>
          <w:bCs/>
          <w:color w:val="0A2540"/>
          <w:sz w:val="20"/>
          <w:szCs w:val="20"/>
        </w:rPr>
        <w:t xml:space="preserve">Interpretation: </w:t>
      </w:r>
      <w:r>
        <w:rPr>
          <w:rFonts w:ascii="Arial" w:cs="Arial" w:eastAsia="Arial" w:hAnsi="Arial"/>
          <w:color w:val="333333"/>
          <w:sz w:val="20"/>
          <w:szCs w:val="20"/>
        </w:rPr>
        <w:t xml:space="preserve">0–20 = Establishing, 21–40 = Developing, 41–60 = Maturing, 61–80 = Thriving, 81–100 = Exemplary.</w:t>
      </w:r>
    </w:p>
    <w:p>
      <w:r>
        <w:br w:type="page"/>
      </w:r>
    </w:p>
    <w:p>
      <w:pPr>
        <w:pStyle w:val="Heading1"/>
        <w:spacing w:before="360" w:after="120"/>
      </w:pPr>
      <w:r>
        <w:rPr>
          <w:rFonts w:ascii="Arial" w:cs="Arial" w:eastAsia="Arial" w:hAnsi="Arial"/>
        </w:rPr>
        <w:t xml:space="preserve">8. Platform-Wide Aggregate Calculations</w:t>
      </w:r>
    </w:p>
    <w:p>
      <w:pPr>
        <w:spacing w:after="120" w:before="0"/>
        <w:jc w:val="left"/>
      </w:pPr>
      <w:r>
        <w:rPr>
          <w:rFonts w:ascii="Arial" w:cs="Arial" w:eastAsia="Arial" w:hAnsi="Arial"/>
          <w:b w:val="false"/>
          <w:bCs w:val="false"/>
          <w:i w:val="false"/>
          <w:iCs w:val="false"/>
          <w:color w:val="333333"/>
          <w:sz w:val="20"/>
          <w:szCs w:val="20"/>
        </w:rPr>
        <w:t xml:space="preserve">The public-facing impact summary (displayed on the main website) aggregates metrics across all active gardens on the platform using simplified versions of the per-garden formulas:</w:t>
      </w:r>
    </w:p>
    <w:p>
      <w:pPr>
        <w:spacing w:after="120" w:before="60"/>
        <w:ind w:left="360"/>
      </w:pPr>
      <w:r>
        <w:rPr>
          <w:rFonts w:ascii="Courier New" w:cs="Courier New" w:eastAsia="Courier New" w:hAnsi="Courier New"/>
          <w:color w:val="0A2540"/>
          <w:sz w:val="18"/>
          <w:szCs w:val="18"/>
        </w:rPr>
        <w:t xml:space="preserve">totalWater = totalSqft × zone.water_factor</w:t>
      </w:r>
    </w:p>
    <w:p>
      <w:pPr>
        <w:spacing w:after="120" w:before="60"/>
        <w:ind w:left="360"/>
      </w:pPr>
      <w:r>
        <w:rPr>
          <w:rFonts w:ascii="Courier New" w:cs="Courier New" w:eastAsia="Courier New" w:hAnsi="Courier New"/>
          <w:color w:val="0A2540"/>
          <w:sz w:val="18"/>
          <w:szCs w:val="18"/>
        </w:rPr>
        <w:t xml:space="preserve">totalCO2 = totalSqft × zone.prairie_co2_sqft + gardenCount × mowingSessions × (blowerCO2 / 453.6)</w:t>
      </w:r>
    </w:p>
    <w:p>
      <w:pPr>
        <w:spacing w:after="120" w:before="60"/>
        <w:ind w:left="360"/>
      </w:pPr>
      <w:r>
        <w:rPr>
          <w:rFonts w:ascii="Courier New" w:cs="Courier New" w:eastAsia="Courier New" w:hAnsi="Courier New"/>
          <w:color w:val="0A2540"/>
          <w:sz w:val="18"/>
          <w:szCs w:val="18"/>
        </w:rPr>
        <w:t xml:space="preserve">totalPollinatorHabitat = totalSqft × 0.3</w:t>
      </w:r>
    </w:p>
    <w:p>
      <w:pPr>
        <w:spacing w:after="120" w:before="60"/>
        <w:ind w:left="360"/>
      </w:pPr>
      <w:r>
        <w:rPr>
          <w:rFonts w:ascii="Courier New" w:cs="Courier New" w:eastAsia="Courier New" w:hAnsi="Courier New"/>
          <w:color w:val="0A2540"/>
          <w:sz w:val="18"/>
          <w:szCs w:val="18"/>
        </w:rPr>
        <w:t xml:space="preserve">totalSavings = totalSqft / 1000 × (lawnCost − nativeCost)</w:t>
      </w:r>
    </w:p>
    <w:p>
      <w:pPr>
        <w:spacing w:after="120" w:before="60"/>
        <w:ind w:left="360"/>
      </w:pPr>
      <w:r>
        <w:rPr>
          <w:rFonts w:ascii="Courier New" w:cs="Courier New" w:eastAsia="Courier New" w:hAnsi="Courier New"/>
          <w:color w:val="0A2540"/>
          <w:sz w:val="18"/>
          <w:szCs w:val="18"/>
        </w:rPr>
        <w:t xml:space="preserve">totalAcousticPeace = gardenCount × mowingSessions × 1.5</w:t>
      </w:r>
    </w:p>
    <w:p>
      <w:pPr>
        <w:spacing w:after="120" w:before="60"/>
        <w:ind w:left="360"/>
      </w:pPr>
      <w:r>
        <w:rPr>
          <w:rFonts w:ascii="Courier New" w:cs="Courier New" w:eastAsia="Courier New" w:hAnsi="Courier New"/>
          <w:color w:val="0A2540"/>
          <w:sz w:val="18"/>
          <w:szCs w:val="18"/>
        </w:rPr>
        <w:t xml:space="preserve">totalChemicalsAvoided = totalSqft / 1000 × 6</w:t>
      </w:r>
    </w:p>
    <w:p>
      <w:pPr>
        <w:pStyle w:val="Heading2"/>
        <w:spacing w:before="240" w:after="120"/>
      </w:pPr>
      <w:r>
        <w:rPr>
          <w:rFonts w:ascii="Arial" w:cs="Arial" w:eastAsia="Arial" w:hAnsi="Arial"/>
        </w:rPr>
        <w:t xml:space="preserve">8.1 Tipping Point Calculation</w:t>
      </w:r>
    </w:p>
    <w:p>
      <w:pPr>
        <w:spacing w:after="120" w:before="60"/>
        <w:ind w:left="360"/>
      </w:pPr>
      <w:r>
        <w:rPr>
          <w:rFonts w:ascii="Courier New" w:cs="Courier New" w:eastAsia="Courier New" w:hAnsi="Courier New"/>
          <w:color w:val="0A2540"/>
          <w:sz w:val="18"/>
          <w:szCs w:val="18"/>
        </w:rPr>
        <w:t xml:space="preserve">tippingPercent = (totalSqft / 444,312,000) × 100</w:t>
      </w:r>
    </w:p>
    <w:p>
      <w:pPr>
        <w:spacing w:after="120" w:before="0"/>
        <w:jc w:val="left"/>
      </w:pPr>
      <w:r>
        <w:rPr>
          <w:rFonts w:ascii="Arial" w:cs="Arial" w:eastAsia="Arial" w:hAnsi="Arial"/>
          <w:b w:val="false"/>
          <w:bCs w:val="false"/>
          <w:i w:val="false"/>
          <w:iCs w:val="false"/>
          <w:color w:val="333333"/>
          <w:sz w:val="20"/>
          <w:szCs w:val="20"/>
        </w:rPr>
        <w:t xml:space="preserve">The denominator (444,312,000 sqft) represents the total front yard area needed for 3% conversion in the target region. This is the theoretical threshold at which network effects become self-sustaining, based on urban ecology tipping point research.</w:t>
      </w:r>
    </w:p>
    <w:p>
      <w:r>
        <w:br w:type="page"/>
      </w:r>
    </w:p>
    <w:p>
      <w:pPr>
        <w:pStyle w:val="Heading1"/>
        <w:spacing w:before="360" w:after="120"/>
      </w:pPr>
      <w:r>
        <w:rPr>
          <w:rFonts w:ascii="Arial" w:cs="Arial" w:eastAsia="Arial" w:hAnsi="Arial"/>
        </w:rPr>
        <w:t xml:space="preserve">9. Best Practices &amp; Methodology Standards</w:t>
      </w:r>
    </w:p>
    <w:p>
      <w:pPr>
        <w:spacing w:after="120" w:before="0"/>
        <w:jc w:val="left"/>
      </w:pPr>
      <w:r>
        <w:rPr>
          <w:rFonts w:ascii="Arial" w:cs="Arial" w:eastAsia="Arial" w:hAnsi="Arial"/>
          <w:b w:val="false"/>
          <w:bCs w:val="false"/>
          <w:i w:val="false"/>
          <w:iCs w:val="false"/>
          <w:color w:val="333333"/>
          <w:sz w:val="20"/>
          <w:szCs w:val="20"/>
        </w:rPr>
        <w:t xml:space="preserve">Holon Foundation adheres to the following principles in its calculation methodology:</w:t>
      </w:r>
    </w:p>
    <w:p>
      <w:pPr>
        <w:pStyle w:val="ListParagraph"/>
        <w:numPr>
          <w:ilvl w:val="0"/>
          <w:numId w:val="2"/>
        </w:numPr>
        <w:spacing w:after="80"/>
      </w:pPr>
      <w:r>
        <w:rPr>
          <w:rFonts w:ascii="Arial" w:cs="Arial" w:eastAsia="Arial" w:hAnsi="Arial"/>
          <w:color w:val="333333"/>
          <w:sz w:val="20"/>
          <w:szCs w:val="20"/>
        </w:rPr>
        <w:t xml:space="preserve">Conservative estimation: Where ranges exist in the literature, we use mid-range or conservative values rather than optimistic upper bounds.</w:t>
      </w:r>
    </w:p>
    <w:p>
      <w:pPr>
        <w:pStyle w:val="ListParagraph"/>
        <w:numPr>
          <w:ilvl w:val="0"/>
          <w:numId w:val="2"/>
        </w:numPr>
        <w:spacing w:after="80"/>
      </w:pPr>
      <w:r>
        <w:rPr>
          <w:rFonts w:ascii="Arial" w:cs="Arial" w:eastAsia="Arial" w:hAnsi="Arial"/>
          <w:color w:val="333333"/>
          <w:sz w:val="20"/>
          <w:szCs w:val="20"/>
        </w:rPr>
        <w:t xml:space="preserve">Source traceability: Every constant and formula traces to a published data source. We cite government agencies (EPA, USDA, NOAA), peer-reviewed journals, and established environmental organizations.</w:t>
      </w:r>
    </w:p>
    <w:p>
      <w:pPr>
        <w:pStyle w:val="ListParagraph"/>
        <w:numPr>
          <w:ilvl w:val="0"/>
          <w:numId w:val="2"/>
        </w:numPr>
        <w:spacing w:after="80"/>
      </w:pPr>
      <w:r>
        <w:rPr>
          <w:rFonts w:ascii="Arial" w:cs="Arial" w:eastAsia="Arial" w:hAnsi="Arial"/>
          <w:color w:val="333333"/>
          <w:sz w:val="20"/>
          <w:szCs w:val="20"/>
        </w:rPr>
        <w:t xml:space="preserve">Zone-appropriate calibration: Rather than national averages, we calibrate baselines to specific Texas geographic zones with region-appropriate rainfall, temperature, and cost data.</w:t>
      </w:r>
    </w:p>
    <w:p>
      <w:pPr>
        <w:pStyle w:val="ListParagraph"/>
        <w:numPr>
          <w:ilvl w:val="0"/>
          <w:numId w:val="2"/>
        </w:numPr>
        <w:spacing w:after="80"/>
      </w:pPr>
      <w:r>
        <w:rPr>
          <w:rFonts w:ascii="Arial" w:cs="Arial" w:eastAsia="Arial" w:hAnsi="Arial"/>
          <w:color w:val="333333"/>
          <w:sz w:val="20"/>
          <w:szCs w:val="20"/>
        </w:rPr>
        <w:t xml:space="preserve">Transparent assumptions: Where we make simplifying assumptions (e.g., 400 sqft canopy per tree, 3°F cooling per 1,000 sqft), we state them explicitly and note the underlying literature.</w:t>
      </w:r>
    </w:p>
    <w:p>
      <w:pPr>
        <w:pStyle w:val="ListParagraph"/>
        <w:numPr>
          <w:ilvl w:val="0"/>
          <w:numId w:val="2"/>
        </w:numPr>
        <w:spacing w:after="80"/>
      </w:pPr>
      <w:r>
        <w:rPr>
          <w:rFonts w:ascii="Arial" w:cs="Arial" w:eastAsia="Arial" w:hAnsi="Arial"/>
          <w:color w:val="333333"/>
          <w:sz w:val="20"/>
          <w:szCs w:val="20"/>
        </w:rPr>
        <w:t xml:space="preserve">Separation of measured and estimated: The platform clearly distinguishes between data entered by stewards (species lists, assessments) and values calculated by the system (impact projections).</w:t>
      </w:r>
    </w:p>
    <w:p>
      <w:pPr>
        <w:pStyle w:val="ListParagraph"/>
        <w:numPr>
          <w:ilvl w:val="0"/>
          <w:numId w:val="2"/>
        </w:numPr>
        <w:spacing w:after="80"/>
      </w:pPr>
      <w:r>
        <w:rPr>
          <w:rFonts w:ascii="Arial" w:cs="Arial" w:eastAsia="Arial" w:hAnsi="Arial"/>
          <w:color w:val="333333"/>
          <w:sz w:val="20"/>
          <w:szCs w:val="20"/>
        </w:rPr>
        <w:t xml:space="preserve">No gaming incentives: Metrics are designed to reward genuine ecological practice, not data entry optimization. Walk bonuses are capped; verification requires physical presence; credibility builds slowly with experience.</w:t>
      </w:r>
    </w:p>
    <w:p>
      <w:pPr>
        <w:pStyle w:val="ListParagraph"/>
        <w:numPr>
          <w:ilvl w:val="0"/>
          <w:numId w:val="2"/>
        </w:numPr>
        <w:spacing w:after="80"/>
      </w:pPr>
      <w:r>
        <w:rPr>
          <w:rFonts w:ascii="Arial" w:cs="Arial" w:eastAsia="Arial" w:hAnsi="Arial"/>
          <w:color w:val="333333"/>
          <w:sz w:val="20"/>
          <w:szCs w:val="20"/>
        </w:rPr>
        <w:t xml:space="preserve">Peer review commitment: We commit to submitting our methodology for independent peer review as resources allow, and we welcome informal peer review through community feedback.</w:t>
      </w:r>
    </w:p>
    <w:p>
      <w:pPr>
        <w:pStyle w:val="ListParagraph"/>
        <w:numPr>
          <w:ilvl w:val="0"/>
          <w:numId w:val="2"/>
        </w:numPr>
        <w:spacing w:after="80"/>
      </w:pPr>
      <w:r>
        <w:rPr>
          <w:rFonts w:ascii="Arial" w:cs="Arial" w:eastAsia="Arial" w:hAnsi="Arial"/>
          <w:color w:val="333333"/>
          <w:sz w:val="20"/>
          <w:szCs w:val="20"/>
        </w:rPr>
        <w:t xml:space="preserve">Version control: All calculation changes are versioned in our codebase and documented in release notes. Historical calculations remain auditable.</w:t>
      </w:r>
    </w:p>
    <w:p>
      <w:r>
        <w:br w:type="page"/>
      </w:r>
    </w:p>
    <w:p>
      <w:pPr>
        <w:pStyle w:val="Heading1"/>
        <w:spacing w:before="360" w:after="120"/>
      </w:pPr>
      <w:r>
        <w:rPr>
          <w:rFonts w:ascii="Arial" w:cs="Arial" w:eastAsia="Arial" w:hAnsi="Arial"/>
        </w:rPr>
        <w:t xml:space="preserve">10. Revision History &amp; Community Contributions</w:t>
      </w:r>
    </w:p>
    <w:p>
      <w:pPr>
        <w:spacing w:after="120" w:before="0"/>
        <w:jc w:val="left"/>
      </w:pPr>
      <w:r>
        <w:rPr>
          <w:rFonts w:ascii="Arial" w:cs="Arial" w:eastAsia="Arial" w:hAnsi="Arial"/>
          <w:b w:val="false"/>
          <w:bCs w:val="false"/>
          <w:i w:val="false"/>
          <w:iCs w:val="false"/>
          <w:color w:val="333333"/>
          <w:sz w:val="20"/>
          <w:szCs w:val="20"/>
        </w:rPr>
        <w:t xml:space="preserve">This section will track all revisions to the calculation methodology, including the source of the change (internal review, community feedback, new research).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1200"/>
        <w:gridCol w:w="3660"/>
        <w:gridCol w:w="3000"/>
      </w:tblGrid>
      <w:tr>
        <w:tc>
          <w:tcPr>
            <w:tcW w:type="dxa" w:w="1500"/>
            <w:tcBorders>
              <w:top w:val="single" w:color="CCCCCC" w:sz="1"/>
              <w:left w:val="single" w:color="CCCCCC" w:sz="1"/>
              <w:bottom w:val="single" w:color="CCCCCC" w:sz="1"/>
              <w:right w:val="single" w:color="CCCCCC" w:sz="1"/>
            </w:tcBorders>
            <w:shd w:fill="0A2540" w:val="clear"/>
            <w:tcMar>
              <w:top w:type="dxa" w:w="60"/>
              <w:left w:type="dxa" w:w="100"/>
              <w:bottom w:type="dxa" w:w="60"/>
              <w:right w:type="dxa" w:w="100"/>
            </w:tcMar>
          </w:tcPr>
          <w:p>
            <w:r>
              <w:rPr>
                <w:rFonts w:ascii="Arial" w:cs="Arial" w:eastAsia="Arial" w:hAnsi="Arial"/>
                <w:b/>
                <w:bCs/>
                <w:color w:val="FFFFFF"/>
                <w:sz w:val="18"/>
                <w:szCs w:val="18"/>
              </w:rPr>
              <w:t xml:space="preserve">Version</w:t>
            </w:r>
          </w:p>
        </w:tc>
        <w:tc>
          <w:tcPr>
            <w:tcW w:type="dxa" w:w="1200"/>
            <w:tcBorders>
              <w:top w:val="single" w:color="CCCCCC" w:sz="1"/>
              <w:left w:val="single" w:color="CCCCCC" w:sz="1"/>
              <w:bottom w:val="single" w:color="CCCCCC" w:sz="1"/>
              <w:right w:val="single" w:color="CCCCCC" w:sz="1"/>
            </w:tcBorders>
            <w:shd w:fill="0A2540" w:val="clear"/>
            <w:tcMar>
              <w:top w:type="dxa" w:w="60"/>
              <w:left w:type="dxa" w:w="100"/>
              <w:bottom w:type="dxa" w:w="60"/>
              <w:right w:type="dxa" w:w="100"/>
            </w:tcMar>
          </w:tcPr>
          <w:p>
            <w:r>
              <w:rPr>
                <w:rFonts w:ascii="Arial" w:cs="Arial" w:eastAsia="Arial" w:hAnsi="Arial"/>
                <w:b/>
                <w:bCs/>
                <w:color w:val="FFFFFF"/>
                <w:sz w:val="18"/>
                <w:szCs w:val="18"/>
              </w:rPr>
              <w:t xml:space="preserve">Date</w:t>
            </w:r>
          </w:p>
        </w:tc>
        <w:tc>
          <w:tcPr>
            <w:tcW w:type="dxa" w:w="3660"/>
            <w:tcBorders>
              <w:top w:val="single" w:color="CCCCCC" w:sz="1"/>
              <w:left w:val="single" w:color="CCCCCC" w:sz="1"/>
              <w:bottom w:val="single" w:color="CCCCCC" w:sz="1"/>
              <w:right w:val="single" w:color="CCCCCC" w:sz="1"/>
            </w:tcBorders>
            <w:shd w:fill="0A2540" w:val="clear"/>
            <w:tcMar>
              <w:top w:type="dxa" w:w="60"/>
              <w:left w:type="dxa" w:w="100"/>
              <w:bottom w:type="dxa" w:w="60"/>
              <w:right w:type="dxa" w:w="100"/>
            </w:tcMar>
          </w:tcPr>
          <w:p>
            <w:r>
              <w:rPr>
                <w:rFonts w:ascii="Arial" w:cs="Arial" w:eastAsia="Arial" w:hAnsi="Arial"/>
                <w:b/>
                <w:bCs/>
                <w:color w:val="FFFFFF"/>
                <w:sz w:val="18"/>
                <w:szCs w:val="18"/>
              </w:rPr>
              <w:t xml:space="preserve">Change Description</w:t>
            </w:r>
          </w:p>
        </w:tc>
        <w:tc>
          <w:tcPr>
            <w:tcW w:type="dxa" w:w="3000"/>
            <w:tcBorders>
              <w:top w:val="single" w:color="CCCCCC" w:sz="1"/>
              <w:left w:val="single" w:color="CCCCCC" w:sz="1"/>
              <w:bottom w:val="single" w:color="CCCCCC" w:sz="1"/>
              <w:right w:val="single" w:color="CCCCCC" w:sz="1"/>
            </w:tcBorders>
            <w:shd w:fill="0A2540" w:val="clear"/>
            <w:tcMar>
              <w:top w:type="dxa" w:w="60"/>
              <w:left w:type="dxa" w:w="100"/>
              <w:bottom w:type="dxa" w:w="60"/>
              <w:right w:type="dxa" w:w="100"/>
            </w:tcMar>
          </w:tcPr>
          <w:p>
            <w:r>
              <w:rPr>
                <w:rFonts w:ascii="Arial" w:cs="Arial" w:eastAsia="Arial" w:hAnsi="Arial"/>
                <w:b/>
                <w:bCs/>
                <w:color w:val="FFFFFF"/>
                <w:sz w:val="18"/>
                <w:szCs w:val="18"/>
              </w:rPr>
              <w:t xml:space="preserve">Source</w:t>
            </w:r>
          </w:p>
        </w:tc>
      </w:tr>
      <w:tr>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18"/>
                <w:szCs w:val="18"/>
              </w:rPr>
              <w:t xml:space="preserve">1.0</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18"/>
                <w:szCs w:val="18"/>
              </w:rPr>
              <w:t xml:space="preserve">2026-03-23</w:t>
            </w:r>
          </w:p>
        </w:tc>
        <w:tc>
          <w:tcPr>
            <w:tcW w:type="dxa" w:w="36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18"/>
                <w:szCs w:val="18"/>
              </w:rPr>
              <w:t xml:space="preserve">Initial public disclosure of all platform metric calculations.</w:t>
            </w:r>
          </w:p>
        </w:tc>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18"/>
                <w:szCs w:val="18"/>
              </w:rPr>
              <w:t xml:space="preserve">Internal audit by Holon Foundation</w:t>
            </w:r>
          </w:p>
        </w:tc>
      </w:tr>
    </w:tbl>
    <w:p>
      <w:pPr>
        <w:spacing w:before="360"/>
      </w:pPr>
    </w:p>
    <w:p>
      <w:pPr>
        <w:spacing w:after="120" w:before="0"/>
        <w:jc w:val="left"/>
      </w:pPr>
      <w:r>
        <w:rPr>
          <w:rFonts w:ascii="Arial" w:cs="Arial" w:eastAsia="Arial" w:hAnsi="Arial"/>
          <w:b w:val="false"/>
          <w:bCs w:val="false"/>
          <w:i w:val="false"/>
          <w:iCs w:val="false"/>
          <w:color w:val="333333"/>
          <w:sz w:val="20"/>
          <w:szCs w:val="20"/>
        </w:rPr>
        <w:t xml:space="preserve">Future contributions from the community will be recorded here with the contributor’s name (if permission is granted), the nature of the improvement, and the version in which it was incorporated.</w:t>
      </w:r>
    </w:p>
    <w:p>
      <w:r>
        <w:br w:type="page"/>
      </w:r>
    </w:p>
    <w:p>
      <w:pPr>
        <w:pStyle w:val="Heading1"/>
        <w:spacing w:before="360" w:after="120"/>
      </w:pPr>
      <w:r>
        <w:rPr>
          <w:rFonts w:ascii="Arial" w:cs="Arial" w:eastAsia="Arial" w:hAnsi="Arial"/>
        </w:rPr>
        <w:t xml:space="preserve">11. How to Submit Feedback</w:t>
      </w:r>
    </w:p>
    <w:p>
      <w:pPr>
        <w:spacing w:after="120" w:before="0"/>
        <w:jc w:val="left"/>
      </w:pPr>
      <w:r>
        <w:rPr>
          <w:rFonts w:ascii="Arial" w:cs="Arial" w:eastAsia="Arial" w:hAnsi="Arial"/>
          <w:b w:val="false"/>
          <w:bCs w:val="false"/>
          <w:i w:val="false"/>
          <w:iCs w:val="false"/>
          <w:color w:val="333333"/>
          <w:sz w:val="20"/>
          <w:szCs w:val="20"/>
        </w:rPr>
        <w:t xml:space="preserve">Holon Foundation welcomes feedback on any aspect of our metric calculations. Here is how to participate:</w:t>
      </w:r>
    </w:p>
    <w:p>
      <w:pPr>
        <w:pStyle w:val="Heading2"/>
        <w:spacing w:before="240" w:after="120"/>
      </w:pPr>
      <w:r>
        <w:rPr>
          <w:rFonts w:ascii="Arial" w:cs="Arial" w:eastAsia="Arial" w:hAnsi="Arial"/>
        </w:rPr>
        <w:t xml:space="preserve">11.1 What We Want to Hear</w:t>
      </w:r>
    </w:p>
    <w:p>
      <w:pPr>
        <w:pStyle w:val="ListParagraph"/>
        <w:numPr>
          <w:ilvl w:val="0"/>
          <w:numId w:val="2"/>
        </w:numPr>
        <w:spacing w:after="80"/>
      </w:pPr>
      <w:r>
        <w:rPr>
          <w:rFonts w:ascii="Arial" w:cs="Arial" w:eastAsia="Arial" w:hAnsi="Arial"/>
          <w:color w:val="333333"/>
          <w:sz w:val="20"/>
          <w:szCs w:val="20"/>
        </w:rPr>
        <w:t xml:space="preserve">Errors or inconsistencies in formulas or data sources</w:t>
      </w:r>
    </w:p>
    <w:p>
      <w:pPr>
        <w:pStyle w:val="ListParagraph"/>
        <w:numPr>
          <w:ilvl w:val="0"/>
          <w:numId w:val="2"/>
        </w:numPr>
        <w:spacing w:after="80"/>
      </w:pPr>
      <w:r>
        <w:rPr>
          <w:rFonts w:ascii="Arial" w:cs="Arial" w:eastAsia="Arial" w:hAnsi="Arial"/>
          <w:color w:val="333333"/>
          <w:sz w:val="20"/>
          <w:szCs w:val="20"/>
        </w:rPr>
        <w:t xml:space="preserve">Better or more recent data sources for any baseline parameter</w:t>
      </w:r>
    </w:p>
    <w:p>
      <w:pPr>
        <w:pStyle w:val="ListParagraph"/>
        <w:numPr>
          <w:ilvl w:val="0"/>
          <w:numId w:val="2"/>
        </w:numPr>
        <w:spacing w:after="80"/>
      </w:pPr>
      <w:r>
        <w:rPr>
          <w:rFonts w:ascii="Arial" w:cs="Arial" w:eastAsia="Arial" w:hAnsi="Arial"/>
          <w:color w:val="333333"/>
          <w:sz w:val="20"/>
          <w:szCs w:val="20"/>
        </w:rPr>
        <w:t xml:space="preserve">Improved calculation methodologies with peer-reviewed support</w:t>
      </w:r>
    </w:p>
    <w:p>
      <w:pPr>
        <w:pStyle w:val="ListParagraph"/>
        <w:numPr>
          <w:ilvl w:val="0"/>
          <w:numId w:val="2"/>
        </w:numPr>
        <w:spacing w:after="80"/>
      </w:pPr>
      <w:r>
        <w:rPr>
          <w:rFonts w:ascii="Arial" w:cs="Arial" w:eastAsia="Arial" w:hAnsi="Arial"/>
          <w:color w:val="333333"/>
          <w:sz w:val="20"/>
          <w:szCs w:val="20"/>
        </w:rPr>
        <w:t xml:space="preserve">Concerns about how a metric might be misinterpreted or misused</w:t>
      </w:r>
    </w:p>
    <w:p>
      <w:pPr>
        <w:pStyle w:val="ListParagraph"/>
        <w:numPr>
          <w:ilvl w:val="0"/>
          <w:numId w:val="2"/>
        </w:numPr>
        <w:spacing w:after="80"/>
      </w:pPr>
      <w:r>
        <w:rPr>
          <w:rFonts w:ascii="Arial" w:cs="Arial" w:eastAsia="Arial" w:hAnsi="Arial"/>
          <w:color w:val="333333"/>
          <w:sz w:val="20"/>
          <w:szCs w:val="20"/>
        </w:rPr>
        <w:t xml:space="preserve">Suggestions for new metrics that would better serve stewards or the public interest</w:t>
      </w:r>
    </w:p>
    <w:p>
      <w:pPr>
        <w:pStyle w:val="ListParagraph"/>
        <w:numPr>
          <w:ilvl w:val="0"/>
          <w:numId w:val="2"/>
        </w:numPr>
        <w:spacing w:after="80"/>
      </w:pPr>
      <w:r>
        <w:rPr>
          <w:rFonts w:ascii="Arial" w:cs="Arial" w:eastAsia="Arial" w:hAnsi="Arial"/>
          <w:color w:val="333333"/>
          <w:sz w:val="20"/>
          <w:szCs w:val="20"/>
        </w:rPr>
        <w:t xml:space="preserve">Accessibility or clarity improvements to this document</w:t>
      </w:r>
    </w:p>
    <w:p>
      <w:pPr>
        <w:pStyle w:val="Heading2"/>
        <w:spacing w:before="240" w:after="120"/>
      </w:pPr>
      <w:r>
        <w:rPr>
          <w:rFonts w:ascii="Arial" w:cs="Arial" w:eastAsia="Arial" w:hAnsi="Arial"/>
        </w:rPr>
        <w:t xml:space="preserve">11.2 How to Submit</w:t>
      </w:r>
    </w:p>
    <w:p>
      <w:pPr>
        <w:spacing w:after="80"/>
      </w:pPr>
      <w:r>
        <w:rPr>
          <w:rFonts w:ascii="Arial" w:cs="Arial" w:eastAsia="Arial" w:hAnsi="Arial"/>
          <w:b/>
          <w:bCs/>
          <w:color w:val="0A2540"/>
          <w:sz w:val="20"/>
          <w:szCs w:val="20"/>
        </w:rPr>
        <w:t xml:space="preserve">Option 1 — Email: </w:t>
      </w:r>
      <w:r>
        <w:rPr>
          <w:rFonts w:ascii="Arial" w:cs="Arial" w:eastAsia="Arial" w:hAnsi="Arial"/>
          <w:color w:val="333333"/>
          <w:sz w:val="20"/>
          <w:szCs w:val="20"/>
        </w:rPr>
        <w:t xml:space="preserve">info@holonfoundation.org</w:t>
      </w:r>
    </w:p>
    <w:p>
      <w:pPr>
        <w:spacing w:after="80"/>
      </w:pPr>
      <w:r>
        <w:rPr>
          <w:rFonts w:ascii="Arial" w:cs="Arial" w:eastAsia="Arial" w:hAnsi="Arial"/>
          <w:b/>
          <w:bCs/>
          <w:color w:val="0A2540"/>
          <w:sz w:val="20"/>
          <w:szCs w:val="20"/>
        </w:rPr>
        <w:t xml:space="preserve">Subject: </w:t>
      </w:r>
      <w:r>
        <w:rPr>
          <w:rFonts w:ascii="Arial" w:cs="Arial" w:eastAsia="Arial" w:hAnsi="Arial"/>
          <w:color w:val="333333"/>
          <w:sz w:val="20"/>
          <w:szCs w:val="20"/>
        </w:rPr>
        <w:t xml:space="preserve">[Metrics Feedback] Brief description of your feedback</w:t>
      </w:r>
    </w:p>
    <w:p>
      <w:pPr>
        <w:spacing w:after="120" w:before="0"/>
        <w:jc w:val="left"/>
      </w:pPr>
      <w:r>
        <w:rPr>
          <w:rFonts w:ascii="Arial" w:cs="Arial" w:eastAsia="Arial" w:hAnsi="Arial"/>
          <w:b w:val="false"/>
          <w:bCs w:val="false"/>
          <w:i w:val="false"/>
          <w:iCs w:val="false"/>
          <w:color w:val="333333"/>
          <w:sz w:val="20"/>
          <w:szCs w:val="20"/>
        </w:rPr>
        <w:t xml:space="preserve">Please include: (1) the specific metric or section you are referencing, (2) the issue or suggestion, and (3) any supporting sources or data. Attachments of published papers or datasets are welcome.</w:t>
      </w:r>
    </w:p>
    <w:p>
      <w:pPr>
        <w:spacing w:after="80"/>
      </w:pPr>
      <w:r>
        <w:rPr>
          <w:rFonts w:ascii="Arial" w:cs="Arial" w:eastAsia="Arial" w:hAnsi="Arial"/>
          <w:b/>
          <w:bCs/>
          <w:color w:val="0A2540"/>
          <w:sz w:val="20"/>
          <w:szCs w:val="20"/>
        </w:rPr>
        <w:t xml:space="preserve">Option 2 — Website contact form: </w:t>
      </w:r>
      <w:hyperlink w:history="1" r:id="rId0uplynzxnvezqvrzmu00d">
        <w:r>
          <w:rPr>
            <w:rStyle w:val="Hyperlink"/>
            <w:rFonts w:ascii="Arial" w:cs="Arial" w:eastAsia="Arial" w:hAnsi="Arial"/>
            <w:sz w:val="20"/>
            <w:szCs w:val="20"/>
          </w:rPr>
          <w:t xml:space="preserve">holongardens.org/about.html#contact</w:t>
        </w:r>
      </w:hyperlink>
    </w:p>
    <w:p>
      <w:pPr>
        <w:spacing w:after="120" w:before="0"/>
        <w:jc w:val="left"/>
      </w:pPr>
      <w:r>
        <w:rPr>
          <w:rFonts w:ascii="Arial" w:cs="Arial" w:eastAsia="Arial" w:hAnsi="Arial"/>
          <w:b w:val="false"/>
          <w:bCs w:val="false"/>
          <w:i w:val="false"/>
          <w:iCs w:val="false"/>
          <w:color w:val="333333"/>
          <w:sz w:val="20"/>
          <w:szCs w:val="20"/>
        </w:rPr>
        <w:t xml:space="preserve">Use our online contact form and select “Metrics Feedback” as the subject. This is a convenient alternative if you prefer not to use email directly.</w:t>
      </w:r>
    </w:p>
    <w:p>
      <w:pPr>
        <w:pStyle w:val="Heading2"/>
        <w:spacing w:before="240" w:after="120"/>
      </w:pPr>
      <w:r>
        <w:rPr>
          <w:rFonts w:ascii="Arial" w:cs="Arial" w:eastAsia="Arial" w:hAnsi="Arial"/>
        </w:rPr>
        <w:t xml:space="preserve">11.3 What Happens Next</w:t>
      </w:r>
    </w:p>
    <w:p>
      <w:pPr>
        <w:pStyle w:val="ListParagraph"/>
        <w:numPr>
          <w:ilvl w:val="0"/>
          <w:numId w:val="2"/>
        </w:numPr>
        <w:spacing w:after="80"/>
      </w:pPr>
      <w:r>
        <w:rPr>
          <w:rFonts w:ascii="Arial" w:cs="Arial" w:eastAsia="Arial" w:hAnsi="Arial"/>
          <w:color w:val="333333"/>
          <w:sz w:val="20"/>
          <w:szCs w:val="20"/>
        </w:rPr>
        <w:t xml:space="preserve">All feedback is logged and acknowledged within 10 business days.</w:t>
      </w:r>
    </w:p>
    <w:p>
      <w:pPr>
        <w:pStyle w:val="ListParagraph"/>
        <w:numPr>
          <w:ilvl w:val="0"/>
          <w:numId w:val="2"/>
        </w:numPr>
        <w:spacing w:after="80"/>
      </w:pPr>
      <w:r>
        <w:rPr>
          <w:rFonts w:ascii="Arial" w:cs="Arial" w:eastAsia="Arial" w:hAnsi="Arial"/>
          <w:color w:val="333333"/>
          <w:sz w:val="20"/>
          <w:szCs w:val="20"/>
        </w:rPr>
        <w:t xml:space="preserve">Substantive feedback is reviewed by the Holon Foundation Governance Committee.</w:t>
      </w:r>
    </w:p>
    <w:p>
      <w:pPr>
        <w:pStyle w:val="ListParagraph"/>
        <w:numPr>
          <w:ilvl w:val="0"/>
          <w:numId w:val="2"/>
        </w:numPr>
        <w:spacing w:after="80"/>
      </w:pPr>
      <w:r>
        <w:rPr>
          <w:rFonts w:ascii="Arial" w:cs="Arial" w:eastAsia="Arial" w:hAnsi="Arial"/>
          <w:color w:val="333333"/>
          <w:sz w:val="20"/>
          <w:szCs w:val="20"/>
        </w:rPr>
        <w:t xml:space="preserve">Changes incorporated into the platform are documented in the Revision History (Section 10).</w:t>
      </w:r>
    </w:p>
    <w:p>
      <w:pPr>
        <w:pStyle w:val="ListParagraph"/>
        <w:numPr>
          <w:ilvl w:val="0"/>
          <w:numId w:val="2"/>
        </w:numPr>
        <w:spacing w:after="80"/>
      </w:pPr>
      <w:r>
        <w:rPr>
          <w:rFonts w:ascii="Arial" w:cs="Arial" w:eastAsia="Arial" w:hAnsi="Arial"/>
          <w:color w:val="333333"/>
          <w:sz w:val="20"/>
          <w:szCs w:val="20"/>
        </w:rPr>
        <w:t xml:space="preserve">Contributors are acknowledged by name (with permission) in the revision notes.</w:t>
      </w:r>
    </w:p>
    <w:p>
      <w:pPr>
        <w:pStyle w:val="ListParagraph"/>
        <w:numPr>
          <w:ilvl w:val="0"/>
          <w:numId w:val="2"/>
        </w:numPr>
        <w:spacing w:after="80"/>
      </w:pPr>
      <w:r>
        <w:rPr>
          <w:rFonts w:ascii="Arial" w:cs="Arial" w:eastAsia="Arial" w:hAnsi="Arial"/>
          <w:color w:val="333333"/>
          <w:sz w:val="20"/>
          <w:szCs w:val="20"/>
        </w:rPr>
        <w:t xml:space="preserve">We commit to publishing a response to all substantive feedback, even if we decide not to adopt the suggested change, explaining our reasoning.</w:t>
      </w:r>
    </w:p>
    <w:p>
      <w:pPr>
        <w:spacing w:before="360"/>
      </w:pPr>
    </w:p>
    <w:p>
      <w:pPr>
        <w:pBdr>
          <w:top w:val="single" w:color="18A95A" w:sz="6" w:space="8"/>
        </w:pBdr>
        <w:spacing w:before="240" w:after="120"/>
        <w:jc w:val="center"/>
      </w:pPr>
    </w:p>
    <w:p>
      <w:pPr>
        <w:spacing w:after="120" w:before="0"/>
        <w:jc w:val="center"/>
      </w:pPr>
      <w:r>
        <w:rPr>
          <w:rFonts w:ascii="Arial" w:cs="Arial" w:eastAsia="Arial" w:hAnsi="Arial"/>
          <w:b w:val="false"/>
          <w:bCs w:val="false"/>
          <w:i/>
          <w:iCs/>
          <w:color w:val="666666"/>
          <w:sz w:val="20"/>
          <w:szCs w:val="20"/>
        </w:rPr>
        <w:t xml:space="preserve">This document represents Holon Foundation’s commitment to operating in the open. We believe that the best way to build trust is to show our work, invite scrutiny, and improve together. Thank you for being part of this process.</w:t>
      </w:r>
    </w:p>
    <w:p>
      <w:pPr>
        <w:spacing w:after="120"/>
        <w:jc w:val="center"/>
      </w:pPr>
      <w:hyperlink w:history="1" r:id="rIdruxsh1sgsb6ejnl8tztgd">
        <w:r>
          <w:rPr>
            <w:rStyle w:val="Hyperlink"/>
            <w:rFonts w:ascii="Arial" w:cs="Arial" w:eastAsia="Arial" w:hAnsi="Arial"/>
            <w:sz w:val="20"/>
            <w:szCs w:val="20"/>
          </w:rPr>
          <w:t xml:space="preserve">holongardens.org</w:t>
        </w:r>
      </w:hyperlink>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Page </w:t>
    </w:r>
    <w:r>
      <w:rPr>
        <w:rFonts w:ascii="Arial" w:cs="Arial" w:eastAsia="Arial" w:hAnsi="Arial"/>
        <w:color w:val="99999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999999"/>
        <w:sz w:val="16"/>
        <w:szCs w:val="16"/>
      </w:rPr>
      <w:t xml:space="preserve">Holon Gardens — Metrics &amp; Calculations Transparency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40"/>
      <w:outlineLvl w:val="0"/>
    </w:pPr>
    <w:rPr>
      <w:rFonts w:ascii="Arial" w:cs="Arial" w:eastAsia="Arial" w:hAnsi="Arial"/>
      <w:b/>
      <w:bCs/>
      <w:color w:val="0A2540"/>
      <w:sz w:val="32"/>
      <w:szCs w:val="32"/>
    </w:rPr>
  </w:style>
  <w:style w:type="paragraph" w:styleId="Heading2">
    <w:name w:val="Heading 2"/>
    <w:basedOn w:val="Normal"/>
    <w:next w:val="Normal"/>
    <w:qFormat/>
    <w:pPr>
      <w:spacing w:before="240" w:after="180"/>
      <w:outlineLvl w:val="1"/>
    </w:pPr>
    <w:rPr>
      <w:rFonts w:ascii="Arial" w:cs="Arial" w:eastAsia="Arial" w:hAnsi="Arial"/>
      <w:b/>
      <w:bCs/>
      <w:color w:val="0A2540"/>
      <w:sz w:val="26"/>
      <w:szCs w:val="26"/>
    </w:rPr>
  </w:style>
  <w:style w:type="paragraph" w:styleId="Heading3">
    <w:name w:val="Heading 3"/>
    <w:basedOn w:val="Normal"/>
    <w:next w:val="Normal"/>
    <w:qFormat/>
    <w:pPr>
      <w:spacing w:before="180" w:after="120"/>
      <w:outlineLvl w:val="2"/>
    </w:pPr>
    <w:rPr>
      <w:rFonts w:ascii="Arial" w:cs="Arial" w:eastAsia="Arial" w:hAnsi="Arial"/>
      <w:b/>
      <w:bCs/>
      <w:color w:val="18A95A"/>
      <w:sz w:val="22"/>
      <w:szCs w:val="22"/>
    </w:rPr>
  </w:style>
  <w:style w:type="character" w:styleId="Hyperlink">
    <w:name w:val="Hyperlink"/>
    <w:uiPriority w:val="99"/>
    <w:unhideWhenUsed/>
    <w:rPr>
      <w:color w:val="18A95A"/>
      <w:u w:val="single"/>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bglhydlzivlgaeemqsb5e" Type="http://schemas.openxmlformats.org/officeDocument/2006/relationships/hyperlink" Target="https://holongardens.org/about.html#contact" TargetMode="External"/><Relationship Id="rId0uplynzxnvezqvrzmu00d" Type="http://schemas.openxmlformats.org/officeDocument/2006/relationships/hyperlink" Target="https://holongardens.org/about.html#contact" TargetMode="External"/><Relationship Id="rIdruxsh1sgsb6ejnl8tztgd" Type="http://schemas.openxmlformats.org/officeDocument/2006/relationships/hyperlink" Target="https://holongardens.org" TargetMode="External"/><Relationship Id="rId11"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2026-03-23T16:04:19.574Z</dcterms:created>
  <dcterms:modified xsi:type="dcterms:W3CDTF">2026-03-23T16:04:19.586Z</dcterms:modified>
</cp:coreProperties>
</file>

<file path=docProps/custom.xml><?xml version="1.0" encoding="utf-8"?>
<Properties xmlns="http://schemas.openxmlformats.org/officeDocument/2006/custom-properties" xmlns:vt="http://schemas.openxmlformats.org/officeDocument/2006/docPropsVTypes"/>
</file>