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2A4A"/>
          <w:sz w:val="36"/>
          <w:szCs w:val="36"/>
        </w:rPr>
        <w:t xml:space="preserve">HOLON FOUNDATION</w:t>
      </w:r>
    </w:p>
    <w:p>
      <w:pPr>
        <w:spacing w:after="80"/>
        <w:jc w:val="center"/>
      </w:pPr>
      <w:r>
        <w:rPr>
          <w:rFonts w:ascii="Arial" w:cs="Arial" w:eastAsia="Arial" w:hAnsi="Arial"/>
          <w:color w:val="0B525B"/>
          <w:sz w:val="30"/>
          <w:szCs w:val="30"/>
        </w:rPr>
        <w:t xml:space="preserve">Digital Security &amp; Accessibility Compliance Policy</w:t>
      </w:r>
    </w:p>
    <w:p>
      <w:pPr>
        <w:spacing w:after="120"/>
        <w:jc w:val="center"/>
      </w:pPr>
      <w:r>
        <w:rPr>
          <w:rFonts w:ascii="Arial" w:cs="Arial" w:eastAsia="Arial" w:hAnsi="Arial"/>
          <w:color w:val="666666"/>
          <w:sz w:val="20"/>
          <w:szCs w:val="20"/>
        </w:rPr>
        <w:t xml:space="preserve">Governance Document No. 22</w:t>
      </w:r>
    </w:p>
    <w:p>
      <w:pPr>
        <w:pBdr>
          <w:bottom w:val="single" w:color="18A95A" w:sz="6" w:space="1"/>
        </w:pBdr>
        <w:spacing w:after="400"/>
        <w:jc w:val="center"/>
      </w:pPr>
      <w:r>
        <w:rPr>
          <w:rFonts w:ascii="Arial" w:cs="Arial" w:eastAsia="Arial" w:hAnsi="Arial"/>
          <w:color w:val="666666"/>
          <w:sz w:val="18"/>
          <w:szCs w:val="18"/>
        </w:rPr>
        <w:t xml:space="preserve">Effective Date: March 16, 2026  |  Version 1.0  |  Classification: Public</w:t>
      </w:r>
    </w:p>
    <w:p>
      <w:pPr>
        <w:pStyle w:val="Heading1"/>
      </w:pPr>
      <w:r>
        <w:t xml:space="preserve">1. Purpose &amp; Scope</w:t>
      </w:r>
    </w:p>
    <w:p>
      <w:pPr>
        <w:spacing w:after="160"/>
      </w:pPr>
      <w:r>
        <w:t xml:space="preserve">This policy establishes the digital security standards, data privacy requirements, and accessibility compliance framework for all Holon Foundation technology systems, including the public website (holonfoundation.org), Trust Portal, and any associated digital infrastructure.</w:t>
      </w:r>
    </w:p>
    <w:p>
      <w:pPr>
        <w:spacing w:after="160"/>
      </w:pPr>
      <w:r>
        <w:rPr>
          <w:b/>
          <w:bCs/>
        </w:rPr>
        <w:t xml:space="preserve">Scope: </w:t>
      </w:r>
      <w:r>
        <w:t xml:space="preserve">This policy applies to all Foundation personnel, contractors, volunteers, technology partners, and any individual with authorized access to Foundation digital systems. It governs all web properties, databases, APIs, and user-facing interfaces operated by or on behalf of the Holon Foundation.</w:t>
      </w:r>
    </w:p>
    <w:p>
      <w:pPr>
        <w:spacing w:after="160"/>
      </w:pPr>
      <w:r>
        <w:rPr>
          <w:b/>
          <w:bCs/>
        </w:rPr>
        <w:t xml:space="preserve">Regulatory Framework: </w:t>
      </w:r>
      <w:r>
        <w:t xml:space="preserve">This policy is designed to comply with applicable federal, state, and international regulations including the Americans with Disabilities Act (ADA) Title II, Section 508 of the Rehabilitation Act, the Texas Data Privacy and Security Act (TDPSA), the Children’s Online Privacy Protection Act (COPPA), and the Web Content Accessibility Guidelines (WCAG) 2.1 Level AA as established by the World Wide Web Consortium (W3C).</w:t>
      </w:r>
    </w:p>
    <w:p>
      <w:r>
        <w:br w:type="page"/>
      </w:r>
    </w:p>
    <w:p>
      <w:pPr>
        <w:pStyle w:val="Heading1"/>
      </w:pPr>
      <w:r>
        <w:t xml:space="preserve">2. Security Architecture</w:t>
      </w:r>
    </w:p>
    <w:p>
      <w:pPr>
        <w:pStyle w:val="Heading2"/>
      </w:pPr>
      <w:r>
        <w:t xml:space="preserve">2.1 Authentication &amp; Access Control</w:t>
      </w:r>
    </w:p>
    <w:p>
      <w:pPr>
        <w:spacing w:after="160"/>
      </w:pPr>
      <w:r>
        <w:t xml:space="preserve">The Foundation implements a defense-in-depth approach to authentication and access management:</w:t>
      </w:r>
    </w:p>
    <w:p>
      <w:pPr>
        <w:pStyle w:val="ListParagraph"/>
        <w:numPr>
          <w:ilvl w:val="0"/>
          <w:numId w:val="2"/>
        </w:numPr>
        <w:spacing w:after="80"/>
      </w:pPr>
      <w:r>
        <w:rPr>
          <w:b/>
          <w:bCs/>
        </w:rPr>
        <w:t xml:space="preserve">Password Policy: </w:t>
      </w:r>
      <w:r>
        <w:t xml:space="preserve">Minimum 8-character passwords with strength scoring. The system evaluates length, character diversity (uppercase, lowercase, numeric, special characters), and provides real-time visual feedback during password creation.</w:t>
      </w:r>
    </w:p>
    <w:p>
      <w:pPr>
        <w:pStyle w:val="ListParagraph"/>
        <w:numPr>
          <w:ilvl w:val="0"/>
          <w:numId w:val="2"/>
        </w:numPr>
        <w:spacing w:after="80"/>
      </w:pPr>
      <w:r>
        <w:rPr>
          <w:b/>
          <w:bCs/>
        </w:rPr>
        <w:t xml:space="preserve">Session Management: </w:t>
      </w:r>
      <w:r>
        <w:t xml:space="preserve">Automatic session timeout after 30 minutes of inactivity. Sessions are managed through Supabase authentication with server-side token validation.</w:t>
      </w:r>
    </w:p>
    <w:p>
      <w:pPr>
        <w:pStyle w:val="ListParagraph"/>
        <w:numPr>
          <w:ilvl w:val="0"/>
          <w:numId w:val="2"/>
        </w:numPr>
        <w:spacing w:after="80"/>
      </w:pPr>
      <w:r>
        <w:rPr>
          <w:b/>
          <w:bCs/>
        </w:rPr>
        <w:t xml:space="preserve">Rate Limiting: </w:t>
      </w:r>
      <w:r>
        <w:t xml:space="preserve">Login attempts are rate-limited with exponential backoff after failed attempts (5-second initial delay, doubling per subsequent failure, up to 60-second maximum). Account lockout notification is displayed after excessive failures.</w:t>
      </w:r>
    </w:p>
    <w:p>
      <w:pPr>
        <w:pStyle w:val="ListParagraph"/>
        <w:numPr>
          <w:ilvl w:val="0"/>
          <w:numId w:val="2"/>
        </w:numPr>
        <w:spacing w:after="80"/>
      </w:pPr>
      <w:r>
        <w:rPr>
          <w:b/>
          <w:bCs/>
        </w:rPr>
        <w:t xml:space="preserve">Role-Based Access Control (RBAC): </w:t>
      </w:r>
      <w:r>
        <w:t xml:space="preserve">Eight-tier role hierarchy (Visitor, Seed Member, Steward, Verifier, Custodes, Community Lead, Admin, Super Admin) with granular permission gates. Each role has defined capabilities enforced at both the UI and API level.</w:t>
      </w:r>
    </w:p>
    <w:p>
      <w:pPr>
        <w:pStyle w:val="ListParagraph"/>
        <w:numPr>
          <w:ilvl w:val="0"/>
          <w:numId w:val="2"/>
        </w:numPr>
        <w:spacing w:after="80"/>
      </w:pPr>
      <w:r>
        <w:rPr>
          <w:b/>
          <w:bCs/>
        </w:rPr>
        <w:t xml:space="preserve">Principle of Least Privilege: </w:t>
      </w:r>
      <w:r>
        <w:t xml:space="preserve">Users are granted the minimum access necessary for their role. Role elevation requires administrative approval and is logged in the activity audit trail.</w:t>
      </w:r>
    </w:p>
    <w:p>
      <w:pPr>
        <w:pStyle w:val="Heading2"/>
      </w:pPr>
      <w:r>
        <w:t xml:space="preserve">2.2 Transport &amp; Network Security</w:t>
      </w:r>
    </w:p>
    <w:p>
      <w:pPr>
        <w:spacing w:after="160"/>
      </w:pPr>
      <w:r>
        <w:t xml:space="preserve">All data in transit is protected through industry-standard encryption and security headers: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Security Header</w:t>
            </w:r>
          </w:p>
        </w:tc>
        <w:tc>
          <w:tcPr>
            <w:tcW w:type="dxa" w:w="6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Implementation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HTTPS / HSTS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Strict-Transport-Security with max-age=31536000 and includeSubDomains. All HTTP traffic redirected to HTTPS.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Content-Security-Policy</w:t>
            </w:r>
          </w:p>
        </w:tc>
        <w:tc>
          <w:tcPr>
            <w:tcW w:type="dxa" w:w="6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Restrictive CSP limiting script sources, style sources, frame ancestors, and connection endpoints to approved domains only.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X-Frame-Options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 to DENY to prevent clickjacking attacks via iframe embedding.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X-Content-Type-Options</w:t>
            </w:r>
          </w:p>
        </w:tc>
        <w:tc>
          <w:tcPr>
            <w:tcW w:type="dxa" w:w="6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Set to nosniff to prevent MIME-type sniffing attacks.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Referrer-Policy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 to strict-origin-when-cross-origin to limit referrer header leakage.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X-XSS-Protection</w:t>
            </w:r>
          </w:p>
        </w:tc>
        <w:tc>
          <w:tcPr>
            <w:tcW w:type="dxa" w:w="6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Enabled with mode=block for legacy browser XSS filtering.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Permissions-Policy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Restricts access to device APIs (camera, microphone, geolocation, etc.) to same-origin only.</w:t>
            </w:r>
          </w:p>
        </w:tc>
      </w:tr>
    </w:tbl>
    <w:p>
      <w:pPr>
        <w:spacing w:after="160"/>
      </w:pPr>
      <w:r>
        <w:t xml:space="preserve"/>
      </w:r>
    </w:p>
    <w:p>
      <w:pPr>
        <w:pStyle w:val="Heading2"/>
      </w:pPr>
      <w:r>
        <w:t xml:space="preserve">2.3 Data Storage &amp; Backend Security</w:t>
      </w:r>
    </w:p>
    <w:p>
      <w:pPr>
        <w:pStyle w:val="ListParagraph"/>
        <w:numPr>
          <w:ilvl w:val="0"/>
          <w:numId w:val="2"/>
        </w:numPr>
        <w:spacing w:after="80"/>
      </w:pPr>
      <w:r>
        <w:rPr>
          <w:b/>
          <w:bCs/>
        </w:rPr>
        <w:t xml:space="preserve">Database Platform: </w:t>
      </w:r>
      <w:r>
        <w:t xml:space="preserve">All application data is stored in Supabase (PostgreSQL) with server-side encryption at rest.</w:t>
      </w:r>
    </w:p>
    <w:p>
      <w:pPr>
        <w:pStyle w:val="ListParagraph"/>
        <w:numPr>
          <w:ilvl w:val="0"/>
          <w:numId w:val="2"/>
        </w:numPr>
        <w:spacing w:after="80"/>
      </w:pPr>
      <w:r>
        <w:rPr>
          <w:b/>
          <w:bCs/>
        </w:rPr>
        <w:t xml:space="preserve">Row-Level Security (RLS): </w:t>
      </w:r>
      <w:r>
        <w:t xml:space="preserve">Supabase RLS policies enforce data isolation at the database level. Users can only access records matching their authenticated identity and role permissions.</w:t>
      </w:r>
    </w:p>
    <w:p>
      <w:pPr>
        <w:pStyle w:val="ListParagraph"/>
        <w:numPr>
          <w:ilvl w:val="0"/>
          <w:numId w:val="2"/>
        </w:numPr>
        <w:spacing w:after="80"/>
      </w:pPr>
      <w:r>
        <w:rPr>
          <w:b/>
          <w:bCs/>
        </w:rPr>
        <w:t xml:space="preserve">API Security: </w:t>
      </w:r>
      <w:r>
        <w:t xml:space="preserve">All API calls are authenticated via Supabase client tokens. Anonymous access is restricted to public-facing read operations only.</w:t>
      </w:r>
    </w:p>
    <w:p>
      <w:pPr>
        <w:pStyle w:val="ListParagraph"/>
        <w:numPr>
          <w:ilvl w:val="0"/>
          <w:numId w:val="2"/>
        </w:numPr>
        <w:spacing w:after="80"/>
      </w:pPr>
      <w:r>
        <w:rPr>
          <w:b/>
          <w:bCs/>
        </w:rPr>
        <w:t xml:space="preserve">Input Sanitization: </w:t>
      </w:r>
      <w:r>
        <w:t xml:space="preserve">All user inputs are sanitized before database insertion to prevent SQL injection and cross-site scripting (XSS) attacks.</w:t>
      </w:r>
    </w:p>
    <w:p>
      <w:r>
        <w:br w:type="page"/>
      </w:r>
    </w:p>
    <w:p>
      <w:pPr>
        <w:pStyle w:val="Heading1"/>
      </w:pPr>
      <w:r>
        <w:t xml:space="preserve">3. Data Privacy &amp; Protection</w:t>
      </w:r>
    </w:p>
    <w:p>
      <w:pPr>
        <w:pStyle w:val="Heading2"/>
      </w:pPr>
      <w:r>
        <w:t xml:space="preserve">3.1 Personal Data Collection</w:t>
      </w:r>
    </w:p>
    <w:p>
      <w:pPr>
        <w:spacing w:after="160"/>
      </w:pPr>
      <w:r>
        <w:t xml:space="preserve">The Foundation collects and processes personal data in accordance with the principle of data minimization. The following categories of personal data are collected: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Data Category</w:t>
            </w:r>
          </w:p>
        </w:tc>
        <w:tc>
          <w:tcPr>
            <w:tcW w:type="dxa" w:w="3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Retention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Account Information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Authentication, communication, role assignment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Duration of account plus 30 days after deletion request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Garden Location (GPS)</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Garden verification, proximity search, impact mapping</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Duration of garden registration; anonymized after deactivation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Verification Photos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Commitment verification evidence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Duration of commitment lifecycle; deleted upon garden removal</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Activity Logs</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Security audit trail, accountability</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12 months, then archived or purged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Usage Analytics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Platform improvement, impact reporting</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Aggregated and anonymized; raw data retained 6 months</w:t>
            </w:r>
          </w:p>
        </w:tc>
      </w:tr>
    </w:tbl>
    <w:p>
      <w:pPr>
        <w:spacing w:after="160"/>
      </w:pPr>
      <w:r>
        <w:t xml:space="preserve"/>
      </w:r>
    </w:p>
    <w:p>
      <w:pPr>
        <w:pStyle w:val="Heading2"/>
      </w:pPr>
      <w:r>
        <w:t xml:space="preserve">3.2 Geolocation Data</w:t>
      </w:r>
    </w:p>
    <w:p>
      <w:pPr>
        <w:spacing w:after="160"/>
      </w:pPr>
      <w:r>
        <w:t xml:space="preserve">The Foundation recognizes the sensitivity of geolocation data and implements the following protections:</w:t>
      </w:r>
    </w:p>
    <w:p>
      <w:pPr>
        <w:pStyle w:val="ListParagraph"/>
        <w:numPr>
          <w:ilvl w:val="0"/>
          <w:numId w:val="3"/>
        </w:numPr>
        <w:spacing w:after="80"/>
      </w:pPr>
      <w:r>
        <w:rPr>
          <w:b/>
          <w:bCs/>
        </w:rPr>
        <w:t xml:space="preserve">Informed Consent: </w:t>
      </w:r>
      <w:r>
        <w:t xml:space="preserve">A dedicated geolocation consent modal explains what GPS data is used for, what is collected, and what is not done with the data. Consent is requested before any location access and is persisted locally.</w:t>
      </w:r>
    </w:p>
    <w:p>
      <w:pPr>
        <w:pStyle w:val="ListParagraph"/>
        <w:numPr>
          <w:ilvl w:val="0"/>
          <w:numId w:val="3"/>
        </w:numPr>
        <w:spacing w:after="80"/>
      </w:pPr>
      <w:r>
        <w:rPr>
          <w:b/>
          <w:bCs/>
        </w:rPr>
        <w:t xml:space="preserve">Purpose Limitation: </w:t>
      </w:r>
      <w:r>
        <w:t xml:space="preserve">GPS coordinates are used solely for garden location registration, proximity-based features (Nearby Gardens), and impact area calculations. Location data is never sold, shared with third-party advertisers, or used for user tracking.</w:t>
      </w:r>
    </w:p>
    <w:p>
      <w:pPr>
        <w:pStyle w:val="ListParagraph"/>
        <w:numPr>
          <w:ilvl w:val="0"/>
          <w:numId w:val="3"/>
        </w:numPr>
        <w:spacing w:after="80"/>
      </w:pPr>
      <w:r>
        <w:rPr>
          <w:b/>
          <w:bCs/>
        </w:rPr>
        <w:t xml:space="preserve">Precision Control: </w:t>
      </w:r>
      <w:r>
        <w:t xml:space="preserve">Public-facing proximity features use approximate distances (rounded to nearest 0.1 mile). Exact GPS coordinates are visible only to the garden steward and authorized verifiers.</w:t>
      </w:r>
    </w:p>
    <w:p>
      <w:pPr>
        <w:pStyle w:val="ListParagraph"/>
        <w:numPr>
          <w:ilvl w:val="0"/>
          <w:numId w:val="3"/>
        </w:numPr>
        <w:spacing w:after="80"/>
      </w:pPr>
      <w:r>
        <w:rPr>
          <w:b/>
          <w:bCs/>
        </w:rPr>
        <w:t xml:space="preserve">Revocation: </w:t>
      </w:r>
      <w:r>
        <w:t xml:space="preserve">Users may revoke geolocation consent at any time through their browser settings. The Foundation provides clear instructions for consent withdrawal.</w:t>
      </w:r>
    </w:p>
    <w:p>
      <w:pPr>
        <w:pStyle w:val="Heading2"/>
      </w:pPr>
      <w:r>
        <w:t xml:space="preserve">3.3 Cookie &amp; Tracking Policy</w:t>
      </w:r>
    </w:p>
    <w:p>
      <w:pPr>
        <w:spacing w:after="160"/>
      </w:pPr>
      <w:r>
        <w:t xml:space="preserve">The Foundation website displays a cookie consent banner on first visit. The Foundation uses only essential cookies required for authentication and session management. No third-party tracking cookies, advertising pixels, or behavioral analytics scripts are deployed. The Foundation does not participate in cross-site tracking or data brokerage.</w:t>
      </w:r>
    </w:p>
    <w:p>
      <w:pPr>
        <w:pStyle w:val="Heading2"/>
      </w:pPr>
      <w:r>
        <w:t xml:space="preserve">3.4 Children’s Privacy (COPPA Compliance)</w:t>
      </w:r>
    </w:p>
    <w:p>
      <w:pPr>
        <w:spacing w:after="160"/>
      </w:pPr>
      <w:r>
        <w:t xml:space="preserve">The Holon Foundation does not knowingly collect personal information from children under the age of 13. The Trust Portal requires account registration, which includes affirmation that the user is at least 13 years of age. If the Foundation becomes aware that it has collected personal data from a child under 13 without verifiable parental consent, that data will be promptly deleted.</w:t>
      </w:r>
    </w:p>
    <w:p>
      <w:pPr>
        <w:pStyle w:val="Heading2"/>
      </w:pPr>
      <w:r>
        <w:t xml:space="preserve">3.5 Texas Data Privacy &amp; Security Act (TDPSA)</w:t>
      </w:r>
    </w:p>
    <w:p>
      <w:pPr>
        <w:spacing w:after="160"/>
      </w:pPr>
      <w:r>
        <w:t xml:space="preserve">As a Texas-based organization, the Foundation recognizes the applicability of the TDPSA and commits to:</w:t>
      </w:r>
    </w:p>
    <w:p>
      <w:pPr>
        <w:pStyle w:val="ListParagraph"/>
        <w:numPr>
          <w:ilvl w:val="0"/>
          <w:numId w:val="2"/>
        </w:numPr>
        <w:spacing w:after="80"/>
      </w:pPr>
      <w:r>
        <w:t xml:space="preserve">Providing clear notice of data collection practices through our Privacy Policy</w:t>
      </w:r>
    </w:p>
    <w:p>
      <w:pPr>
        <w:pStyle w:val="ListParagraph"/>
        <w:numPr>
          <w:ilvl w:val="0"/>
          <w:numId w:val="2"/>
        </w:numPr>
        <w:spacing w:after="80"/>
      </w:pPr>
      <w:r>
        <w:t xml:space="preserve">Honoring data subject rights including the right to access, correct, delete, and obtain a copy of personal data</w:t>
      </w:r>
    </w:p>
    <w:p>
      <w:pPr>
        <w:pStyle w:val="ListParagraph"/>
        <w:numPr>
          <w:ilvl w:val="0"/>
          <w:numId w:val="2"/>
        </w:numPr>
        <w:spacing w:after="80"/>
      </w:pPr>
      <w:r>
        <w:t xml:space="preserve">Implementing reasonable data security practices proportionate to the sensitivity of data processed</w:t>
      </w:r>
    </w:p>
    <w:p>
      <w:pPr>
        <w:pStyle w:val="ListParagraph"/>
        <w:numPr>
          <w:ilvl w:val="0"/>
          <w:numId w:val="2"/>
        </w:numPr>
        <w:spacing w:after="80"/>
      </w:pPr>
      <w:r>
        <w:t xml:space="preserve">Not engaging in the sale of personal data or targeted advertising based on personal data</w:t>
      </w:r>
    </w:p>
    <w:p>
      <w:r>
        <w:br w:type="page"/>
      </w:r>
    </w:p>
    <w:p>
      <w:pPr>
        <w:pStyle w:val="Heading1"/>
      </w:pPr>
      <w:r>
        <w:t xml:space="preserve">4. Accessibility Compliance</w:t>
      </w:r>
    </w:p>
    <w:p>
      <w:pPr>
        <w:pStyle w:val="Heading2"/>
      </w:pPr>
      <w:r>
        <w:t xml:space="preserve">4.1 Standards &amp; Legal Requirements</w:t>
      </w:r>
    </w:p>
    <w:p>
      <w:pPr>
        <w:spacing w:after="160"/>
      </w:pPr>
      <w:r>
        <w:t xml:space="preserve">The Holon Foundation website and Trust Portal are designed to conform to the </w:t>
      </w:r>
      <w:r>
        <w:rPr>
          <w:b/>
          <w:bCs/>
        </w:rPr>
        <w:t xml:space="preserve">Web Content Accessibility Guidelines (WCAG) 2.1, Level AA</w:t>
      </w:r>
      <w:r>
        <w:t xml:space="preserve">, as established by the World Wide Web Consortium (W3C). This standard is mandated under </w:t>
      </w:r>
      <w:r>
        <w:rPr>
          <w:b/>
          <w:bCs/>
        </w:rPr>
        <w:t xml:space="preserve">Title II of the Americans with Disabilities Act (ADA)</w:t>
      </w:r>
      <w:r>
        <w:t xml:space="preserve"> per the Department of Justice final rule of April 2024.</w:t>
      </w:r>
    </w:p>
    <w:p>
      <w:pPr>
        <w:spacing w:after="160"/>
      </w:pPr>
      <w:r>
        <w:t xml:space="preserve">The DOJ compliance deadline for entities serving populations of 50,000 or more is </w:t>
      </w:r>
      <w:r>
        <w:rPr>
          <w:b/>
          <w:bCs/>
        </w:rPr>
        <w:t xml:space="preserve">April 24, 2026</w:t>
      </w:r>
      <w:r>
        <w:t xml:space="preserve">. The Foundation is actively working toward full compliance before this date.</w:t>
      </w:r>
    </w:p>
    <w:p>
      <w:pPr>
        <w:pStyle w:val="Heading2"/>
      </w:pPr>
      <w:r>
        <w:t xml:space="preserve">4.2 Implemented Accessibility Features</w:t>
      </w:r>
    </w:p>
    <w:p>
      <w:pPr>
        <w:spacing w:after="160"/>
      </w:pPr>
      <w:r>
        <w:t xml:space="preserve">The following accessibility features are currently implemented across all Foundation web properties:</w:t>
      </w:r>
    </w:p>
    <w:p>
      <w:pPr>
        <w:pStyle w:val="Heading3"/>
      </w:pPr>
      <w:r>
        <w:t xml:space="preserve">Navigation &amp; Structure</w:t>
      </w:r>
    </w:p>
    <w:p>
      <w:pPr>
        <w:pStyle w:val="ListParagraph"/>
        <w:numPr>
          <w:ilvl w:val="0"/>
          <w:numId w:val="2"/>
        </w:numPr>
        <w:spacing w:after="80"/>
      </w:pPr>
      <w:r>
        <w:t xml:space="preserve">Skip-to-content links on all pages for keyboard users to bypass repetitive navigation</w:t>
      </w:r>
    </w:p>
    <w:p>
      <w:pPr>
        <w:pStyle w:val="ListParagraph"/>
        <w:numPr>
          <w:ilvl w:val="0"/>
          <w:numId w:val="2"/>
        </w:numPr>
        <w:spacing w:after="80"/>
      </w:pPr>
      <w:r>
        <w:t xml:space="preserve">Semantic HTML with proper heading hierarchy (h1 through h6)</w:t>
      </w:r>
    </w:p>
    <w:p>
      <w:pPr>
        <w:pStyle w:val="ListParagraph"/>
        <w:numPr>
          <w:ilvl w:val="0"/>
          <w:numId w:val="2"/>
        </w:numPr>
        <w:spacing w:after="80"/>
      </w:pPr>
      <w:r>
        <w:t xml:space="preserve">ARIA landmarks (navigation, main, contentinfo) for screen reader orientation</w:t>
      </w:r>
    </w:p>
    <w:p>
      <w:pPr>
        <w:pStyle w:val="ListParagraph"/>
        <w:numPr>
          <w:ilvl w:val="0"/>
          <w:numId w:val="2"/>
        </w:numPr>
        <w:spacing w:after="80"/>
      </w:pPr>
      <w:r>
        <w:t xml:space="preserve">Language attribute (lang="en") set on all pages</w:t>
      </w:r>
    </w:p>
    <w:p>
      <w:pPr>
        <w:pStyle w:val="Heading3"/>
      </w:pPr>
      <w:r>
        <w:t xml:space="preserve">Interactive Elements</w:t>
      </w:r>
    </w:p>
    <w:p>
      <w:pPr>
        <w:pStyle w:val="ListParagraph"/>
        <w:numPr>
          <w:ilvl w:val="0"/>
          <w:numId w:val="2"/>
        </w:numPr>
        <w:spacing w:after="80"/>
      </w:pPr>
      <w:r>
        <w:t xml:space="preserve">Full keyboard operability for all interactive features</w:t>
      </w:r>
    </w:p>
    <w:p>
      <w:pPr>
        <w:pStyle w:val="ListParagraph"/>
        <w:numPr>
          <w:ilvl w:val="0"/>
          <w:numId w:val="2"/>
        </w:numPr>
        <w:spacing w:after="80"/>
      </w:pPr>
      <w:r>
        <w:t xml:space="preserve">Visible focus indicators using :focus-visible on all interactive elements</w:t>
      </w:r>
    </w:p>
    <w:p>
      <w:pPr>
        <w:pStyle w:val="ListParagraph"/>
        <w:numPr>
          <w:ilvl w:val="0"/>
          <w:numId w:val="2"/>
        </w:numPr>
        <w:spacing w:after="80"/>
      </w:pPr>
      <w:r>
        <w:t xml:space="preserve">ARIA attributes on dialogs, modals, tabs, and alerts (role, aria-label, aria-modal, aria-live)</w:t>
      </w:r>
    </w:p>
    <w:p>
      <w:pPr>
        <w:pStyle w:val="ListParagraph"/>
        <w:numPr>
          <w:ilvl w:val="0"/>
          <w:numId w:val="2"/>
        </w:numPr>
        <w:spacing w:after="80"/>
      </w:pPr>
      <w:r>
        <w:t xml:space="preserve">Minimum 44x44 pixel touch targets on mobile devices</w:t>
      </w:r>
    </w:p>
    <w:p>
      <w:pPr>
        <w:pStyle w:val="ListParagraph"/>
        <w:numPr>
          <w:ilvl w:val="0"/>
          <w:numId w:val="2"/>
        </w:numPr>
        <w:spacing w:after="80"/>
      </w:pPr>
      <w:r>
        <w:t xml:space="preserve">Form labels associated with inputs, error messages with role="alert", and aria-describedby for password requirements</w:t>
      </w:r>
    </w:p>
    <w:p>
      <w:pPr>
        <w:pStyle w:val="ListParagraph"/>
        <w:numPr>
          <w:ilvl w:val="0"/>
          <w:numId w:val="2"/>
        </w:numPr>
        <w:spacing w:after="80"/>
      </w:pPr>
      <w:r>
        <w:t xml:space="preserve">Screen reader announcement system (aria-live region) for dynamic content updates</w:t>
      </w:r>
    </w:p>
    <w:p>
      <w:pPr>
        <w:pStyle w:val="Heading3"/>
      </w:pPr>
      <w:r>
        <w:t xml:space="preserve">Visual Design</w:t>
      </w:r>
    </w:p>
    <w:p>
      <w:pPr>
        <w:pStyle w:val="ListParagraph"/>
        <w:numPr>
          <w:ilvl w:val="0"/>
          <w:numId w:val="2"/>
        </w:numPr>
        <w:spacing w:after="80"/>
      </w:pPr>
      <w:r>
        <w:t xml:space="preserve">Color contrast ratios meeting WCAG AA requirements for text and interactive elements</w:t>
      </w:r>
    </w:p>
    <w:p>
      <w:pPr>
        <w:pStyle w:val="ListParagraph"/>
        <w:numPr>
          <w:ilvl w:val="0"/>
          <w:numId w:val="2"/>
        </w:numPr>
        <w:spacing w:after="80"/>
      </w:pPr>
      <w:r>
        <w:t xml:space="preserve">Accessible dark mode toggle with appropriate contrast adjustments</w:t>
      </w:r>
    </w:p>
    <w:p>
      <w:pPr>
        <w:pStyle w:val="ListParagraph"/>
        <w:numPr>
          <w:ilvl w:val="0"/>
          <w:numId w:val="2"/>
        </w:numPr>
        <w:spacing w:after="80"/>
      </w:pPr>
      <w:r>
        <w:t xml:space="preserve">Descriptive alternative text on all meaningful images</w:t>
      </w:r>
    </w:p>
    <w:p>
      <w:pPr>
        <w:pStyle w:val="ListParagraph"/>
        <w:numPr>
          <w:ilvl w:val="0"/>
          <w:numId w:val="2"/>
        </w:numPr>
        <w:spacing w:after="80"/>
      </w:pPr>
      <w:r>
        <w:t xml:space="preserve">Responsive design with content reflow for screen magnification up to 200%</w:t>
      </w:r>
    </w:p>
    <w:p>
      <w:pPr>
        <w:pStyle w:val="Heading3"/>
      </w:pPr>
      <w:r>
        <w:t xml:space="preserve">Multilingual Support</w:t>
      </w:r>
    </w:p>
    <w:p>
      <w:pPr>
        <w:pStyle w:val="ListParagraph"/>
        <w:numPr>
          <w:ilvl w:val="0"/>
          <w:numId w:val="2"/>
        </w:numPr>
        <w:spacing w:after="80"/>
      </w:pPr>
      <w:r>
        <w:t xml:space="preserve">English, Spanish, and Italian language options</w:t>
      </w:r>
    </w:p>
    <w:p>
      <w:pPr>
        <w:pStyle w:val="ListParagraph"/>
        <w:numPr>
          <w:ilvl w:val="0"/>
          <w:numId w:val="2"/>
        </w:numPr>
        <w:spacing w:after="80"/>
      </w:pPr>
      <w:r>
        <w:t xml:space="preserve">Keyboard-accessible language switcher</w:t>
      </w:r>
    </w:p>
    <w:p>
      <w:pPr>
        <w:pStyle w:val="Heading2"/>
      </w:pPr>
      <w:r>
        <w:t xml:space="preserve">4.3 Assistive Technology Compatibility</w:t>
      </w:r>
    </w:p>
    <w:p>
      <w:pPr>
        <w:spacing w:after="160"/>
      </w:pPr>
      <w:r>
        <w:t xml:space="preserve">The Foundation website is designed to be compatible with:</w:t>
      </w:r>
    </w:p>
    <w:p>
      <w:pPr>
        <w:pStyle w:val="ListParagraph"/>
        <w:numPr>
          <w:ilvl w:val="0"/>
          <w:numId w:val="2"/>
        </w:numPr>
        <w:spacing w:after="80"/>
      </w:pPr>
      <w:r>
        <w:t xml:space="preserve">Screen readers: NVDA, JAWS, VoiceOver, TalkBack</w:t>
      </w:r>
    </w:p>
    <w:p>
      <w:pPr>
        <w:pStyle w:val="ListParagraph"/>
        <w:numPr>
          <w:ilvl w:val="0"/>
          <w:numId w:val="2"/>
        </w:numPr>
        <w:spacing w:after="80"/>
      </w:pPr>
      <w:r>
        <w:t xml:space="preserve">Screen magnification software</w:t>
      </w:r>
    </w:p>
    <w:p>
      <w:pPr>
        <w:pStyle w:val="ListParagraph"/>
        <w:numPr>
          <w:ilvl w:val="0"/>
          <w:numId w:val="2"/>
        </w:numPr>
        <w:spacing w:after="80"/>
      </w:pPr>
      <w:r>
        <w:t xml:space="preserve">Speech recognition software</w:t>
      </w:r>
    </w:p>
    <w:p>
      <w:pPr>
        <w:pStyle w:val="ListParagraph"/>
        <w:numPr>
          <w:ilvl w:val="0"/>
          <w:numId w:val="2"/>
        </w:numPr>
        <w:spacing w:after="80"/>
      </w:pPr>
      <w:r>
        <w:t xml:space="preserve">Alternative keyboard and switch devices</w:t>
      </w:r>
    </w:p>
    <w:p>
      <w:pPr>
        <w:pStyle w:val="Heading2"/>
      </w:pPr>
      <w:r>
        <w:t xml:space="preserve">4.4 Known Limitations &amp; Remediation Plan</w:t>
      </w:r>
    </w:p>
    <w:p>
      <w:pPr>
        <w:spacing w:after="160"/>
      </w:pPr>
      <w:r>
        <w:t xml:space="preserve">The Foundation maintains transparency about accessibility limitations and actively works to resolve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Limitation</w:t>
            </w:r>
          </w:p>
        </w:tc>
        <w:tc>
          <w:tcPr>
            <w:tcW w:type="dxa" w:w="2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2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Target Resolution</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Comprehensive screen reader testing across all interactive dashboards and verification workflows</w:t>
            </w:r>
          </w:p>
        </w:tc>
        <w:tc>
          <w:tcPr>
            <w:tcW w:type="dxa" w:w="2680"/>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r>
              <w:rPr>
                <w:rFonts w:ascii="Arial" w:cs="Arial" w:eastAsia="Arial" w:hAnsi="Arial"/>
                <w:sz w:val="20"/>
                <w:szCs w:val="20"/>
              </w:rPr>
              <w:t xml:space="preserve">In Progress</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Q2 2026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Enhanced ARIA attributes for dynamic content updates in the impact dashboard</w:t>
            </w:r>
          </w:p>
        </w:tc>
        <w:tc>
          <w:tcPr>
            <w:tcW w:type="dxa" w:w="2680"/>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r>
              <w:rPr>
                <w:rFonts w:ascii="Arial" w:cs="Arial" w:eastAsia="Arial" w:hAnsi="Arial"/>
                <w:sz w:val="20"/>
                <w:szCs w:val="20"/>
              </w:rPr>
              <w:t xml:space="preserve">In Progress</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Q2 2026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keyboard navigation audit of GPS-based garden mapping features</w:t>
            </w:r>
          </w:p>
        </w:tc>
        <w:tc>
          <w:tcPr>
            <w:tcW w:type="dxa" w:w="2680"/>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r>
              <w:rPr>
                <w:rFonts w:ascii="Arial" w:cs="Arial" w:eastAsia="Arial" w:hAnsi="Arial"/>
                <w:sz w:val="20"/>
                <w:szCs w:val="20"/>
              </w:rPr>
              <w:t xml:space="preserve">In Progress</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Q2 2026</w:t>
            </w:r>
          </w:p>
        </w:tc>
      </w:tr>
    </w:tbl>
    <w:p>
      <w:pPr>
        <w:spacing w:after="160"/>
      </w:pPr>
      <w:r>
        <w:t xml:space="preserve"/>
      </w:r>
    </w:p>
    <w:p>
      <w:pPr>
        <w:pStyle w:val="Heading2"/>
      </w:pPr>
      <w:r>
        <w:t xml:space="preserve">4.5 Accessibility Barrier Reporting</w:t>
      </w:r>
    </w:p>
    <w:p>
      <w:pPr>
        <w:spacing w:after="160"/>
      </w:pPr>
      <w:r>
        <w:t xml:space="preserve">Users who encounter accessibility barriers may report them through:</w:t>
      </w:r>
    </w:p>
    <w:p>
      <w:pPr>
        <w:pStyle w:val="ListParagraph"/>
        <w:numPr>
          <w:ilvl w:val="0"/>
          <w:numId w:val="4"/>
        </w:numPr>
        <w:spacing w:after="80"/>
      </w:pPr>
      <w:r>
        <w:rPr>
          <w:b/>
          <w:bCs/>
        </w:rPr>
        <w:t xml:space="preserve">Online Form: </w:t>
      </w:r>
      <w:r>
        <w:t xml:space="preserve">The Accessibility Statement page (holonfoundation.org/accessibility.html) includes a structured barrier reporting form</w:t>
      </w:r>
    </w:p>
    <w:p>
      <w:pPr>
        <w:pStyle w:val="ListParagraph"/>
        <w:numPr>
          <w:ilvl w:val="0"/>
          <w:numId w:val="4"/>
        </w:numPr>
        <w:spacing w:after="80"/>
      </w:pPr>
      <w:r>
        <w:rPr>
          <w:b/>
          <w:bCs/>
        </w:rPr>
        <w:t xml:space="preserve">Email: </w:t>
      </w:r>
      <w:r>
        <w:t xml:space="preserve">info@holonfoundation.org with subject line "Accessibility Barrier"</w:t>
      </w:r>
    </w:p>
    <w:p>
      <w:pPr>
        <w:spacing w:after="160"/>
      </w:pPr>
      <w:r>
        <w:t xml:space="preserve">All accessibility barrier reports are reviewed within </w:t>
      </w:r>
      <w:r>
        <w:rPr>
          <w:b/>
          <w:bCs/>
        </w:rPr>
        <w:t xml:space="preserve">5 business days</w:t>
      </w:r>
      <w:r>
        <w:t xml:space="preserve">. Critical barriers affecting core functionality are prioritized for immediate remediation.</w:t>
      </w:r>
    </w:p>
    <w:p>
      <w:r>
        <w:br w:type="page"/>
      </w:r>
    </w:p>
    <w:p>
      <w:pPr>
        <w:pStyle w:val="Heading1"/>
      </w:pPr>
      <w:r>
        <w:t xml:space="preserve">5. Incident Response</w:t>
      </w:r>
    </w:p>
    <w:p>
      <w:pPr>
        <w:pStyle w:val="Heading2"/>
      </w:pPr>
      <w:r>
        <w:t xml:space="preserve">5.1 Security Incident Classification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Severity</w:t>
            </w:r>
          </w:p>
        </w:tc>
        <w:tc>
          <w:tcPr>
            <w:tcW w:type="dxa" w:w="37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37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Response Time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C2626"/>
                <w:sz w:val="20"/>
                <w:szCs w:val="20"/>
              </w:rPr>
              <w:t xml:space="preserve">Critical</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Data breach affecting personal data, unauthorized system access, or compromise of authentication systems</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Immediate (within 1 hour of detection). Affected users notified within 72 hours per TDPSA requirements.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EA580C"/>
                <w:sz w:val="20"/>
                <w:szCs w:val="20"/>
              </w:rPr>
              <w:t xml:space="preserve">High</w:t>
            </w:r>
          </w:p>
        </w:tc>
        <w:tc>
          <w:tcPr>
            <w:tcW w:type="dxa" w:w="3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Attempted unauthorized access, vulnerability discovery, denial of service</w:t>
            </w:r>
          </w:p>
        </w:tc>
        <w:tc>
          <w:tcPr>
            <w:tcW w:type="dxa" w:w="3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Within 4 hours. Investigation and mitigation within 24 hours.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97706"/>
                <w:sz w:val="20"/>
                <w:szCs w:val="20"/>
              </w:rPr>
              <w:t xml:space="preserve">Medium</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Suspicious activity patterns, failed attack attempts, minor configuration issues</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Within 24 hours. Resolution within 7 business days.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59669"/>
                <w:sz w:val="20"/>
                <w:szCs w:val="20"/>
              </w:rPr>
              <w:t xml:space="preserve">Low</w:t>
            </w:r>
          </w:p>
        </w:tc>
        <w:tc>
          <w:tcPr>
            <w:tcW w:type="dxa" w:w="3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Policy compliance questions, minor accessibility issues, informational security inquiries</w:t>
            </w:r>
          </w:p>
        </w:tc>
        <w:tc>
          <w:tcPr>
            <w:tcW w:type="dxa" w:w="3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Within 5 business days.</w:t>
            </w:r>
          </w:p>
        </w:tc>
      </w:tr>
    </w:tbl>
    <w:p>
      <w:pPr>
        <w:spacing w:after="160"/>
      </w:pPr>
      <w:r>
        <w:t xml:space="preserve"/>
      </w:r>
    </w:p>
    <w:p>
      <w:pPr>
        <w:pStyle w:val="Heading2"/>
      </w:pPr>
      <w:r>
        <w:t xml:space="preserve">5.2 Incident Response Procedure</w:t>
      </w:r>
    </w:p>
    <w:p>
      <w:pPr>
        <w:pStyle w:val="ListParagraph"/>
        <w:numPr>
          <w:ilvl w:val="0"/>
          <w:numId w:val="5"/>
        </w:numPr>
        <w:spacing w:after="80"/>
      </w:pPr>
      <w:r>
        <w:rPr>
          <w:b/>
          <w:bCs/>
        </w:rPr>
        <w:t xml:space="preserve">Detection &amp; Triage: </w:t>
      </w:r>
      <w:r>
        <w:t xml:space="preserve">Security events are detected through activity logs, rate limiting triggers, and user reports. Each event is classified by severity level.</w:t>
      </w:r>
    </w:p>
    <w:p>
      <w:pPr>
        <w:pStyle w:val="ListParagraph"/>
        <w:numPr>
          <w:ilvl w:val="0"/>
          <w:numId w:val="5"/>
        </w:numPr>
        <w:spacing w:after="80"/>
      </w:pPr>
      <w:r>
        <w:rPr>
          <w:b/>
          <w:bCs/>
        </w:rPr>
        <w:t xml:space="preserve">Containment: </w:t>
      </w:r>
      <w:r>
        <w:t xml:space="preserve">Immediate containment actions include session revocation, account suspension, IP blocking, or system isolation as appropriate.</w:t>
      </w:r>
    </w:p>
    <w:p>
      <w:pPr>
        <w:pStyle w:val="ListParagraph"/>
        <w:numPr>
          <w:ilvl w:val="0"/>
          <w:numId w:val="5"/>
        </w:numPr>
        <w:spacing w:after="80"/>
      </w:pPr>
      <w:r>
        <w:rPr>
          <w:b/>
          <w:bCs/>
        </w:rPr>
        <w:t xml:space="preserve">Investigation: </w:t>
      </w:r>
      <w:r>
        <w:t xml:space="preserve">Root cause analysis is conducted with full audit trail review. Findings are documented in the incident log.</w:t>
      </w:r>
    </w:p>
    <w:p>
      <w:pPr>
        <w:pStyle w:val="ListParagraph"/>
        <w:numPr>
          <w:ilvl w:val="0"/>
          <w:numId w:val="5"/>
        </w:numPr>
        <w:spacing w:after="80"/>
      </w:pPr>
      <w:r>
        <w:rPr>
          <w:b/>
          <w:bCs/>
        </w:rPr>
        <w:t xml:space="preserve">Remediation: </w:t>
      </w:r>
      <w:r>
        <w:t xml:space="preserve">Vulnerabilities are patched, security configurations updated, and affected systems restored to secure state.</w:t>
      </w:r>
    </w:p>
    <w:p>
      <w:pPr>
        <w:pStyle w:val="ListParagraph"/>
        <w:numPr>
          <w:ilvl w:val="0"/>
          <w:numId w:val="5"/>
        </w:numPr>
        <w:spacing w:after="80"/>
      </w:pPr>
      <w:r>
        <w:rPr>
          <w:b/>
          <w:bCs/>
        </w:rPr>
        <w:t xml:space="preserve">Notification: </w:t>
      </w:r>
      <w:r>
        <w:t xml:space="preserve">Affected users and relevant authorities are notified per legal requirements (TDPSA: within 60 days of breach determination).</w:t>
      </w:r>
    </w:p>
    <w:p>
      <w:pPr>
        <w:pStyle w:val="ListParagraph"/>
        <w:numPr>
          <w:ilvl w:val="0"/>
          <w:numId w:val="5"/>
        </w:numPr>
        <w:spacing w:after="80"/>
      </w:pPr>
      <w:r>
        <w:rPr>
          <w:b/>
          <w:bCs/>
        </w:rPr>
        <w:t xml:space="preserve">Post-Incident Review: </w:t>
      </w:r>
      <w:r>
        <w:t xml:space="preserve">Lessons learned are documented and incorporated into security policies and procedures.</w:t>
      </w:r>
    </w:p>
    <w:p>
      <w:r>
        <w:br w:type="page"/>
      </w:r>
    </w:p>
    <w:p>
      <w:pPr>
        <w:pStyle w:val="Heading1"/>
      </w:pPr>
      <w:r>
        <w:t xml:space="preserve">6. Vulnerability Management</w:t>
      </w:r>
    </w:p>
    <w:p>
      <w:pPr>
        <w:pStyle w:val="Heading2"/>
      </w:pPr>
      <w:r>
        <w:t xml:space="preserve">6.1 Responsible Disclosure</w:t>
      </w:r>
    </w:p>
    <w:p>
      <w:pPr>
        <w:spacing w:after="160"/>
      </w:pPr>
      <w:r>
        <w:t xml:space="preserve">The Foundation welcomes responsible disclosure of security vulnerabilities. Security researchers and community members who discover potential vulnerabilities should report them to info@holonfoundation.org with the subject line "Security Vulnerability Report." The Foundation commits to:</w:t>
      </w:r>
    </w:p>
    <w:p>
      <w:pPr>
        <w:pStyle w:val="ListParagraph"/>
        <w:numPr>
          <w:ilvl w:val="0"/>
          <w:numId w:val="2"/>
        </w:numPr>
        <w:spacing w:after="80"/>
      </w:pPr>
      <w:r>
        <w:t xml:space="preserve">Acknowledging receipt of vulnerability reports within 48 hours</w:t>
      </w:r>
    </w:p>
    <w:p>
      <w:pPr>
        <w:pStyle w:val="ListParagraph"/>
        <w:numPr>
          <w:ilvl w:val="0"/>
          <w:numId w:val="2"/>
        </w:numPr>
        <w:spacing w:after="80"/>
      </w:pPr>
      <w:r>
        <w:t xml:space="preserve">Providing an initial assessment within 5 business days</w:t>
      </w:r>
    </w:p>
    <w:p>
      <w:pPr>
        <w:pStyle w:val="ListParagraph"/>
        <w:numPr>
          <w:ilvl w:val="0"/>
          <w:numId w:val="2"/>
        </w:numPr>
        <w:spacing w:after="80"/>
      </w:pPr>
      <w:r>
        <w:t xml:space="preserve">Not pursuing legal action against researchers acting in good faith</w:t>
      </w:r>
    </w:p>
    <w:p>
      <w:pPr>
        <w:pStyle w:val="ListParagraph"/>
        <w:numPr>
          <w:ilvl w:val="0"/>
          <w:numId w:val="2"/>
        </w:numPr>
        <w:spacing w:after="80"/>
      </w:pPr>
      <w:r>
        <w:t xml:space="preserve">Crediting researchers (with their permission) when vulnerabilities are resolved</w:t>
      </w:r>
    </w:p>
    <w:p>
      <w:pPr>
        <w:pStyle w:val="Heading2"/>
      </w:pPr>
      <w:r>
        <w:t xml:space="preserve">6.2 Dependency &amp; Platform Security</w:t>
      </w:r>
    </w:p>
    <w:p>
      <w:pPr>
        <w:spacing w:after="160"/>
      </w:pPr>
      <w:r>
        <w:t xml:space="preserve">The Foundation monitors the security posture of its technology dependencies:</w:t>
      </w:r>
    </w:p>
    <w:p>
      <w:pPr>
        <w:pStyle w:val="ListParagraph"/>
        <w:numPr>
          <w:ilvl w:val="0"/>
          <w:numId w:val="2"/>
        </w:numPr>
        <w:spacing w:after="80"/>
      </w:pPr>
      <w:r>
        <w:rPr>
          <w:b/>
          <w:bCs/>
        </w:rPr>
        <w:t xml:space="preserve">Supabase Platform: </w:t>
      </w:r>
      <w:r>
        <w:t xml:space="preserve">Backend security, database patches, and infrastructure updates are managed by Supabase with SOC 2 Type II compliance.</w:t>
      </w:r>
    </w:p>
    <w:p>
      <w:pPr>
        <w:pStyle w:val="ListParagraph"/>
        <w:numPr>
          <w:ilvl w:val="0"/>
          <w:numId w:val="2"/>
        </w:numPr>
        <w:spacing w:after="80"/>
      </w:pPr>
      <w:r>
        <w:rPr>
          <w:b/>
          <w:bCs/>
        </w:rPr>
        <w:t xml:space="preserve">Netlify Hosting: </w:t>
      </w:r>
      <w:r>
        <w:t xml:space="preserve">Static asset hosting with automatic HTTPS, DDoS protection, and CDN-level security.</w:t>
      </w:r>
    </w:p>
    <w:p>
      <w:pPr>
        <w:pStyle w:val="ListParagraph"/>
        <w:numPr>
          <w:ilvl w:val="0"/>
          <w:numId w:val="2"/>
        </w:numPr>
        <w:spacing w:after="80"/>
      </w:pPr>
      <w:r>
        <w:rPr>
          <w:b/>
          <w:bCs/>
        </w:rPr>
        <w:t xml:space="preserve">Third-Party Libraries: </w:t>
      </w:r>
      <w:r>
        <w:t xml:space="preserve">External scripts are loaded only from approved CDN sources specified in the Content Security Policy. No self-hosted third-party JavaScript is executed.</w:t>
      </w:r>
    </w:p>
    <w:p>
      <w:pPr>
        <w:pStyle w:val="ListParagraph"/>
        <w:numPr>
          <w:ilvl w:val="0"/>
          <w:numId w:val="2"/>
        </w:numPr>
        <w:spacing w:after="80"/>
      </w:pPr>
      <w:r>
        <w:rPr>
          <w:b/>
          <w:bCs/>
        </w:rPr>
        <w:t xml:space="preserve">Dependency Review: </w:t>
      </w:r>
      <w:r>
        <w:t xml:space="preserve">Technology dependencies are reviewed quarterly for known vulnerabilities and updated as needed.</w:t>
      </w:r>
    </w:p>
    <w:p>
      <w:r>
        <w:br w:type="page"/>
      </w:r>
    </w:p>
    <w:p>
      <w:pPr>
        <w:pStyle w:val="Heading1"/>
      </w:pPr>
      <w:r>
        <w:t xml:space="preserve">7. User Rights &amp; Data Subject Requests</w:t>
      </w:r>
    </w:p>
    <w:p>
      <w:pPr>
        <w:spacing w:after="160"/>
      </w:pPr>
      <w:r>
        <w:t xml:space="preserve">In accordance with applicable privacy laws, Foundation users have the following rights regarding their personal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80"/>
        <w:gridCol w:w="258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Right</w:t>
            </w:r>
          </w:p>
        </w:tc>
        <w:tc>
          <w:tcPr>
            <w:tcW w:type="dxa" w:w="4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Response Time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Access</w:t>
            </w:r>
          </w:p>
        </w:tc>
        <w:tc>
          <w:tcPr>
            <w:tcW w:type="dxa" w:w="4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Request a copy of all personal data held by the Foundation</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Within 45 days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Correction</w:t>
            </w:r>
          </w:p>
        </w:tc>
        <w:tc>
          <w:tcPr>
            <w:tcW w:type="dxa" w:w="4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Request correction of inaccurate personal data</w:t>
            </w:r>
          </w:p>
        </w:tc>
        <w:tc>
          <w:tcPr>
            <w:tcW w:type="dxa" w:w="2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Within 45 days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Deletion</w:t>
            </w:r>
          </w:p>
        </w:tc>
        <w:tc>
          <w:tcPr>
            <w:tcW w:type="dxa" w:w="4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Request deletion of personal data (subject to legal retention requirements)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Within 45 days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Portability</w:t>
            </w:r>
          </w:p>
        </w:tc>
        <w:tc>
          <w:tcPr>
            <w:tcW w:type="dxa" w:w="4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Obtain personal data in a commonly used, machine-readable format</w:t>
            </w:r>
          </w:p>
        </w:tc>
        <w:tc>
          <w:tcPr>
            <w:tcW w:type="dxa" w:w="2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Within 45 days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Opt-Out</w:t>
            </w:r>
          </w:p>
        </w:tc>
        <w:tc>
          <w:tcPr>
            <w:tcW w:type="dxa" w:w="4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Opt out of data processing for non-essential purposes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Within 15 days</w:t>
            </w:r>
          </w:p>
        </w:tc>
      </w:tr>
    </w:tbl>
    <w:p>
      <w:pPr>
        <w:spacing w:after="160"/>
      </w:pPr>
      <w:r>
        <w:t xml:space="preserve"/>
      </w:r>
    </w:p>
    <w:p>
      <w:pPr>
        <w:spacing w:after="160"/>
      </w:pPr>
      <w:r>
        <w:t xml:space="preserve">Data subject requests may be submitted to info@holonfoundation.org. The Foundation will verify the identity of the requestor before processing any data subject request.</w:t>
      </w:r>
    </w:p>
    <w:p>
      <w:pPr>
        <w:pStyle w:val="Heading1"/>
      </w:pPr>
      <w:r>
        <w:t xml:space="preserve">8. Training &amp; Awareness</w:t>
      </w:r>
    </w:p>
    <w:p>
      <w:pPr>
        <w:spacing w:after="160"/>
      </w:pPr>
      <w:r>
        <w:t xml:space="preserve">The Foundation maintains a security and accessibility awareness program:</w:t>
      </w:r>
    </w:p>
    <w:p>
      <w:pPr>
        <w:pStyle w:val="ListParagraph"/>
        <w:numPr>
          <w:ilvl w:val="0"/>
          <w:numId w:val="2"/>
        </w:numPr>
        <w:spacing w:after="80"/>
      </w:pPr>
      <w:r>
        <w:rPr>
          <w:b/>
          <w:bCs/>
        </w:rPr>
        <w:t xml:space="preserve">Onboarding: </w:t>
      </w:r>
      <w:r>
        <w:t xml:space="preserve">All new personnel with system access receive training on this policy, data handling procedures, and accessibility requirements.</w:t>
      </w:r>
    </w:p>
    <w:p>
      <w:pPr>
        <w:pStyle w:val="ListParagraph"/>
        <w:numPr>
          <w:ilvl w:val="0"/>
          <w:numId w:val="2"/>
        </w:numPr>
        <w:spacing w:after="80"/>
      </w:pPr>
      <w:r>
        <w:rPr>
          <w:b/>
          <w:bCs/>
        </w:rPr>
        <w:t xml:space="preserve">Annual Review: </w:t>
      </w:r>
      <w:r>
        <w:t xml:space="preserve">All personnel with system access complete an annual security and accessibility awareness refresher.</w:t>
      </w:r>
    </w:p>
    <w:p>
      <w:pPr>
        <w:pStyle w:val="ListParagraph"/>
        <w:numPr>
          <w:ilvl w:val="0"/>
          <w:numId w:val="2"/>
        </w:numPr>
        <w:spacing w:after="80"/>
      </w:pPr>
      <w:r>
        <w:rPr>
          <w:b/>
          <w:bCs/>
        </w:rPr>
        <w:t xml:space="preserve">Role-Specific Training: </w:t>
      </w:r>
      <w:r>
        <w:t xml:space="preserve">Administrators and developers receive additional training on secure coding practices, vulnerability management, and WCAG implementation.</w:t>
      </w:r>
    </w:p>
    <w:p>
      <w:pPr>
        <w:pStyle w:val="ListParagraph"/>
        <w:numPr>
          <w:ilvl w:val="0"/>
          <w:numId w:val="2"/>
        </w:numPr>
        <w:spacing w:after="80"/>
      </w:pPr>
      <w:r>
        <w:rPr>
          <w:b/>
          <w:bCs/>
        </w:rPr>
        <w:t xml:space="preserve">Incident Simulation: </w:t>
      </w:r>
      <w:r>
        <w:t xml:space="preserve">The Foundation conducts periodic tabletop exercises to test incident response procedures.</w:t>
      </w:r>
    </w:p>
    <w:p>
      <w:r>
        <w:br w:type="page"/>
      </w:r>
    </w:p>
    <w:p>
      <w:pPr>
        <w:pStyle w:val="Heading1"/>
      </w:pPr>
      <w:r>
        <w:t xml:space="preserve">9. Compliance Monitoring &amp; Audit</w:t>
      </w:r>
    </w:p>
    <w:p>
      <w:pPr>
        <w:pStyle w:val="Heading2"/>
      </w:pPr>
      <w:r>
        <w:t xml:space="preserve">9.1 Internal Audit</w:t>
      </w:r>
    </w:p>
    <w:p>
      <w:pPr>
        <w:spacing w:after="160"/>
      </w:pPr>
      <w:r>
        <w:t xml:space="preserve">The Foundation conducts the following regular compliance assessments:</w:t>
      </w:r>
    </w:p>
    <w:p>
      <w:pPr>
        <w:pStyle w:val="ListParagraph"/>
        <w:numPr>
          <w:ilvl w:val="0"/>
          <w:numId w:val="2"/>
        </w:numPr>
        <w:spacing w:after="80"/>
      </w:pPr>
      <w:r>
        <w:rPr>
          <w:b/>
          <w:bCs/>
        </w:rPr>
        <w:t xml:space="preserve">Quarterly: </w:t>
      </w:r>
      <w:r>
        <w:t xml:space="preserve">Review of security headers, CSP policy, and access control configurations</w:t>
      </w:r>
    </w:p>
    <w:p>
      <w:pPr>
        <w:pStyle w:val="ListParagraph"/>
        <w:numPr>
          <w:ilvl w:val="0"/>
          <w:numId w:val="2"/>
        </w:numPr>
        <w:spacing w:after="80"/>
      </w:pPr>
      <w:r>
        <w:rPr>
          <w:b/>
          <w:bCs/>
        </w:rPr>
        <w:t xml:space="preserve">Semi-Annually: </w:t>
      </w:r>
      <w:r>
        <w:t xml:space="preserve">WCAG 2.1 AA compliance audit using automated tools (e.g., axe, Lighthouse) and manual testing with assistive technologies</w:t>
      </w:r>
    </w:p>
    <w:p>
      <w:pPr>
        <w:pStyle w:val="ListParagraph"/>
        <w:numPr>
          <w:ilvl w:val="0"/>
          <w:numId w:val="2"/>
        </w:numPr>
        <w:spacing w:after="80"/>
      </w:pPr>
      <w:r>
        <w:rPr>
          <w:b/>
          <w:bCs/>
        </w:rPr>
        <w:t xml:space="preserve">Annually: </w:t>
      </w:r>
      <w:r>
        <w:t xml:space="preserve">Comprehensive security assessment including penetration testing considerations, dependency audit, and policy review</w:t>
      </w:r>
    </w:p>
    <w:p>
      <w:pPr>
        <w:pStyle w:val="Heading2"/>
      </w:pPr>
      <w:r>
        <w:t xml:space="preserve">9.2 Accessibility Testing</w:t>
      </w:r>
    </w:p>
    <w:p>
      <w:pPr>
        <w:spacing w:after="160"/>
      </w:pPr>
      <w:r>
        <w:t xml:space="preserve">Accessibility compliance is verified through a combination of:</w:t>
      </w:r>
    </w:p>
    <w:p>
      <w:pPr>
        <w:pStyle w:val="ListParagraph"/>
        <w:numPr>
          <w:ilvl w:val="0"/>
          <w:numId w:val="2"/>
        </w:numPr>
        <w:spacing w:after="80"/>
      </w:pPr>
      <w:r>
        <w:t xml:space="preserve">Automated scanning tools (Lighthouse, axe-core) integrated into the development workflow</w:t>
      </w:r>
    </w:p>
    <w:p>
      <w:pPr>
        <w:pStyle w:val="ListParagraph"/>
        <w:numPr>
          <w:ilvl w:val="0"/>
          <w:numId w:val="2"/>
        </w:numPr>
        <w:spacing w:after="80"/>
      </w:pPr>
      <w:r>
        <w:t xml:space="preserve">Manual keyboard navigation testing across all interactive features</w:t>
      </w:r>
    </w:p>
    <w:p>
      <w:pPr>
        <w:pStyle w:val="ListParagraph"/>
        <w:numPr>
          <w:ilvl w:val="0"/>
          <w:numId w:val="2"/>
        </w:numPr>
        <w:spacing w:after="80"/>
      </w:pPr>
      <w:r>
        <w:t xml:space="preserve">Screen reader testing with NVDA, VoiceOver, and TalkBack</w:t>
      </w:r>
    </w:p>
    <w:p>
      <w:pPr>
        <w:pStyle w:val="ListParagraph"/>
        <w:numPr>
          <w:ilvl w:val="0"/>
          <w:numId w:val="2"/>
        </w:numPr>
        <w:spacing w:after="80"/>
      </w:pPr>
      <w:r>
        <w:t xml:space="preserve">User feedback from the accessibility barrier reporting system</w:t>
      </w:r>
    </w:p>
    <w:p>
      <w:pPr>
        <w:pStyle w:val="ListParagraph"/>
        <w:numPr>
          <w:ilvl w:val="0"/>
          <w:numId w:val="2"/>
        </w:numPr>
        <w:spacing w:after="80"/>
      </w:pPr>
      <w:r>
        <w:t xml:space="preserve">Color contrast verification for all new UI components</w:t>
      </w:r>
    </w:p>
    <w:p>
      <w:pPr>
        <w:pStyle w:val="Heading2"/>
      </w:pPr>
      <w:r>
        <w:t xml:space="preserve">9.3 Compliance Documentation</w:t>
      </w:r>
    </w:p>
    <w:p>
      <w:pPr>
        <w:spacing w:after="160"/>
      </w:pPr>
      <w:r>
        <w:t xml:space="preserve">The Foundation maintains records of all compliance activities, including audit results, remediation actions, incident reports, and accessibility testing outcomes. These records are retained for a minimum of three years and are available for review by authorized oversight bodies upon request.</w:t>
      </w:r>
    </w:p>
    <w:p>
      <w:pPr>
        <w:pStyle w:val="Heading1"/>
      </w:pPr>
      <w:r>
        <w:t xml:space="preserve">10. Enforcement &amp; External Remedies</w:t>
      </w:r>
    </w:p>
    <w:p>
      <w:pPr>
        <w:spacing w:after="160"/>
      </w:pPr>
      <w:r>
        <w:t xml:space="preserve">If users are not satisfied with the Foundation’s response to a security or accessibility concern, they may pursue the following external remedies:</w:t>
      </w:r>
    </w:p>
    <w:p>
      <w:pPr>
        <w:pStyle w:val="ListParagraph"/>
        <w:numPr>
          <w:ilvl w:val="0"/>
          <w:numId w:val="2"/>
        </w:numPr>
        <w:spacing w:after="80"/>
      </w:pPr>
      <w:r>
        <w:rPr>
          <w:b/>
          <w:bCs/>
        </w:rPr>
        <w:t xml:space="preserve">ADA Title II Complaints: </w:t>
      </w:r>
      <w:r>
        <w:t xml:space="preserve">File a complaint with the U.S. Department of Justice (ada.gov/file-a-complaint)</w:t>
      </w:r>
    </w:p>
    <w:p>
      <w:pPr>
        <w:pStyle w:val="ListParagraph"/>
        <w:numPr>
          <w:ilvl w:val="0"/>
          <w:numId w:val="2"/>
        </w:numPr>
        <w:spacing w:after="80"/>
      </w:pPr>
      <w:r>
        <w:rPr>
          <w:b/>
          <w:bCs/>
        </w:rPr>
        <w:t xml:space="preserve">Section 508 Complaints: </w:t>
      </w:r>
      <w:r>
        <w:t xml:space="preserve">Contact the Office for Civil Rights (OCR) at the U.S. Department of Health and Human Services</w:t>
      </w:r>
    </w:p>
    <w:p>
      <w:pPr>
        <w:pStyle w:val="ListParagraph"/>
        <w:numPr>
          <w:ilvl w:val="0"/>
          <w:numId w:val="2"/>
        </w:numPr>
        <w:spacing w:after="80"/>
      </w:pPr>
      <w:r>
        <w:rPr>
          <w:b/>
          <w:bCs/>
        </w:rPr>
        <w:t xml:space="preserve">Privacy Complaints: </w:t>
      </w:r>
      <w:r>
        <w:t xml:space="preserve">File a complaint with the Texas Attorney General’s Office regarding TDPSA violations</w:t>
      </w:r>
    </w:p>
    <w:p>
      <w:pPr>
        <w:pStyle w:val="ListParagraph"/>
        <w:numPr>
          <w:ilvl w:val="0"/>
          <w:numId w:val="2"/>
        </w:numPr>
        <w:spacing w:after="80"/>
      </w:pPr>
      <w:r>
        <w:rPr>
          <w:b/>
          <w:bCs/>
        </w:rPr>
        <w:t xml:space="preserve">General Inquiries: </w:t>
      </w:r>
      <w:r>
        <w:t xml:space="preserve">Contact the Foundation at info@holonfoundation.org</w:t>
      </w:r>
    </w:p>
    <w:p>
      <w:pPr>
        <w:pStyle w:val="Heading1"/>
      </w:pPr>
      <w:r>
        <w:t xml:space="preserve">11. Policy Review &amp; Amendment</w:t>
      </w:r>
    </w:p>
    <w:p>
      <w:pPr>
        <w:spacing w:after="160"/>
      </w:pPr>
      <w:r>
        <w:t xml:space="preserve">This policy is reviewed at least annually by the Board of Directors or their designated committee. Amendments may be made as needed to address emerging threats, regulatory changes, or technology updates. Material changes to this policy will be communicated to all affected personnel and published on the Foundation website.</w:t>
      </w:r>
    </w:p>
    <w:p>
      <w:pPr>
        <w:spacing w:after="160"/>
      </w:pPr>
      <w:r>
        <w:rPr>
          <w:b/>
          <w:bCs/>
        </w:rPr>
        <w:t xml:space="preserve">Policy Owner: </w:t>
      </w:r>
      <w:r>
        <w:t xml:space="preserve">Board of Directors, Holon Foundation</w:t>
      </w:r>
    </w:p>
    <w:p>
      <w:pPr>
        <w:spacing w:after="160"/>
      </w:pPr>
      <w:r>
        <w:rPr>
          <w:b/>
          <w:bCs/>
        </w:rPr>
        <w:t xml:space="preserve">Last Reviewed: </w:t>
      </w:r>
      <w:r>
        <w:t xml:space="preserve">March 16, 2026</w:t>
      </w:r>
    </w:p>
    <w:p>
      <w:pPr>
        <w:spacing w:after="160"/>
      </w:pPr>
      <w:r>
        <w:rPr>
          <w:b/>
          <w:bCs/>
        </w:rPr>
        <w:t xml:space="preserve">Next Review: </w:t>
      </w:r>
      <w:r>
        <w:t xml:space="preserve">March 2027 (or sooner if triggered by material changes)</w:t>
      </w:r>
    </w:p>
    <w:p>
      <w:pPr>
        <w:pBdr>
          <w:top w:val="single" w:color="18A95A" w:sz="6" w:space="1"/>
        </w:pBdr>
        <w:spacing w:before="400"/>
      </w:pPr>
    </w:p>
    <w:p>
      <w:pPr>
        <w:spacing w:before="200"/>
        <w:jc w:val="center"/>
      </w:pPr>
      <w:r>
        <w:rPr>
          <w:rFonts w:ascii="Arial" w:cs="Arial" w:eastAsia="Arial" w:hAnsi="Arial"/>
          <w:color w:val="999999"/>
          <w:sz w:val="18"/>
          <w:szCs w:val="18"/>
        </w:rPr>
        <w:t xml:space="preserve">Holon Foundation  •  Houston, Texas  •  info@holonfoundation.org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Holon Foundation — Digital Security &amp; Accessibility Compliance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2026-03-16T17:59:38.355Z</dcterms:created>
  <dcterms:modified xsi:type="dcterms:W3CDTF">2026-03-16T17:59:38.364Z</dcterms:modified>
</cp:coreProperties>
</file>

<file path=docProps/custom.xml><?xml version="1.0" encoding="utf-8"?>
<Properties xmlns="http://schemas.openxmlformats.org/officeDocument/2006/custom-properties" xmlns:vt="http://schemas.openxmlformats.org/officeDocument/2006/docPropsVTypes"/>
</file>