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jc w:val="center"/>
      </w:pPr>
      <w:r>
        <w:rPr>
          <w:rFonts w:ascii="Arial" w:cs="Arial" w:eastAsia="Arial" w:hAnsi="Arial"/>
          <w:color w:val="2D6A4F"/>
          <w:spacing w:val="200"/>
          <w:sz w:val="18"/>
          <w:szCs w:val="18"/>
        </w:rPr>
        <w:t xml:space="preserve">HOLON FOUNDATION</w:t>
      </w:r>
    </w:p>
    <w:p>
      <w:pPr>
        <w:spacing w:after="80"/>
        <w:jc w:val="center"/>
      </w:pPr>
      <w:r>
        <w:rPr>
          <w:rFonts w:ascii="Arial" w:cs="Arial" w:eastAsia="Arial" w:hAnsi="Arial"/>
          <w:b/>
          <w:bCs/>
          <w:color w:val="1B4332"/>
          <w:sz w:val="36"/>
          <w:szCs w:val="36"/>
        </w:rPr>
        <w:t xml:space="preserve">Lobbying and Advocacy Compliance Policy</w:t>
      </w:r>
    </w:p>
    <w:p>
      <w:pPr>
        <w:pBdr>
          <w:bottom w:val="single" w:color="2D6A4F" w:sz="4" w:space="1"/>
        </w:pBdr>
        <w:spacing w:after="200"/>
        <w:jc w:val="center"/>
      </w:pPr>
      <w:r>
        <w:rPr>
          <w:rFonts w:ascii="Arial" w:cs="Arial" w:eastAsia="Arial" w:hAnsi="Arial"/>
          <w:i/>
          <w:iCs/>
          <w:color w:val="6C757D"/>
          <w:sz w:val="22"/>
          <w:szCs w:val="22"/>
        </w:rPr>
        <w:t xml:space="preserve">Ensuring compliance with IRS lobbying limitations for 501(c)(3) organizations</w:t>
      </w:r>
    </w:p>
    <w:p>
      <w:pPr>
        <w:spacing w:after="40"/>
        <w:jc w:val="center"/>
      </w:pPr>
      <w:r>
        <w:rPr>
          <w:rFonts w:ascii="Arial" w:cs="Arial" w:eastAsia="Arial" w:hAnsi="Arial"/>
          <w:color w:val="6C757D"/>
          <w:sz w:val="18"/>
          <w:szCs w:val="18"/>
        </w:rPr>
        <w:t xml:space="preserve">Effective Date: ________________    |    Version 1.0</w:t>
      </w:r>
    </w:p>
    <w:p>
      <w:pPr>
        <w:spacing w:after="400"/>
        <w:jc w:val="center"/>
      </w:pPr>
      <w:r>
        <w:rPr>
          <w:rFonts w:ascii="Arial" w:cs="Arial" w:eastAsia="Arial" w:hAnsi="Arial"/>
          <w:color w:val="6C757D"/>
          <w:sz w:val="18"/>
          <w:szCs w:val="18"/>
        </w:rPr>
        <w:t xml:space="preserve">Approved by the Board of Directors on ________________</w:t>
      </w:r>
    </w:p>
    <w:p>
      <w:pPr>
        <w:pStyle w:val="Heading1"/>
      </w:pPr>
      <w:r>
        <w:t xml:space="preserve">Purpose</w:t>
      </w:r>
    </w:p>
    <w:p>
      <w:pPr>
        <w:spacing w:after="120"/>
      </w:pPr>
      <w:r>
        <w:rPr>
          <w:rFonts w:ascii="Arial" w:cs="Arial" w:eastAsia="Arial" w:hAnsi="Arial"/>
          <w:sz w:val="22"/>
          <w:szCs w:val="22"/>
        </w:rPr>
        <w:t xml:space="preserve">This policy ensures Holon Foundation's compliance with IRS limitations on lobbying activities by 501(c)(3) organizations. It distinguishes between permissible advocacy and restricted lobbying, and establishes procedures for monitoring and reporting lobbying expenditures.</w:t>
      </w:r>
    </w:p>
    <w:p>
      <w:pPr>
        <w:pStyle w:val="Heading1"/>
      </w:pPr>
      <w:r>
        <w:t xml:space="preserve">Definitions</w:t>
      </w:r>
    </w:p>
    <w:p>
      <w:pPr>
        <w:pStyle w:val="ListParagraph"/>
        <w:numPr>
          <w:ilvl w:val="0"/>
          <w:numId w:val="2"/>
        </w:numPr>
        <w:spacing w:after="60"/>
      </w:pPr>
      <w:r>
        <w:rPr>
          <w:rFonts w:ascii="Arial" w:cs="Arial" w:eastAsia="Arial" w:hAnsi="Arial"/>
          <w:b/>
          <w:bCs/>
          <w:sz w:val="22"/>
          <w:szCs w:val="22"/>
        </w:rPr>
        <w:t xml:space="preserve">Lobbying: </w:t>
      </w:r>
      <w:r>
        <w:rPr>
          <w:rFonts w:ascii="Arial" w:cs="Arial" w:eastAsia="Arial" w:hAnsi="Arial"/>
          <w:sz w:val="22"/>
          <w:szCs w:val="22"/>
        </w:rPr>
        <w:t xml:space="preserve">Attempting to influence legislation through communication with legislators or their staff (direct lobbying) or through communication with the public urging them to contact legislators (grassroots lobbying). Includes federal, state, and local legislation.</w:t>
      </w:r>
    </w:p>
    <w:p>
      <w:pPr>
        <w:pStyle w:val="ListParagraph"/>
        <w:numPr>
          <w:ilvl w:val="0"/>
          <w:numId w:val="2"/>
        </w:numPr>
        <w:spacing w:after="60"/>
      </w:pPr>
      <w:r>
        <w:rPr>
          <w:rFonts w:ascii="Arial" w:cs="Arial" w:eastAsia="Arial" w:hAnsi="Arial"/>
          <w:b/>
          <w:bCs/>
          <w:sz w:val="22"/>
          <w:szCs w:val="22"/>
        </w:rPr>
        <w:t xml:space="preserve">Advocacy: </w:t>
      </w:r>
      <w:r>
        <w:rPr>
          <w:rFonts w:ascii="Arial" w:cs="Arial" w:eastAsia="Arial" w:hAnsi="Arial"/>
          <w:sz w:val="22"/>
          <w:szCs w:val="22"/>
        </w:rPr>
        <w:t xml:space="preserve">Educating the public and policymakers about issues relevant to the Foundation's mission. Advocacy is generally permissible and includes research, public education, and responding to requests from legislative bodies.</w:t>
      </w:r>
    </w:p>
    <w:p>
      <w:pPr>
        <w:pStyle w:val="Heading1"/>
      </w:pPr>
      <w:r>
        <w:t xml:space="preserve">Permissible Activities</w:t>
      </w:r>
    </w:p>
    <w:p>
      <w:pPr>
        <w:pStyle w:val="ListParagraph"/>
        <w:numPr>
          <w:ilvl w:val="0"/>
          <w:numId w:val="2"/>
        </w:numPr>
        <w:spacing w:after="60"/>
      </w:pPr>
      <w:r>
        <w:rPr>
          <w:rFonts w:ascii="Arial" w:cs="Arial" w:eastAsia="Arial" w:hAnsi="Arial"/>
          <w:sz w:val="22"/>
          <w:szCs w:val="22"/>
        </w:rPr>
        <w:t xml:space="preserve">Nonpartisan public education about conservation issues</w:t>
      </w:r>
    </w:p>
    <w:p>
      <w:pPr>
        <w:pStyle w:val="ListParagraph"/>
        <w:numPr>
          <w:ilvl w:val="0"/>
          <w:numId w:val="2"/>
        </w:numPr>
        <w:spacing w:after="60"/>
      </w:pPr>
      <w:r>
        <w:rPr>
          <w:rFonts w:ascii="Arial" w:cs="Arial" w:eastAsia="Arial" w:hAnsi="Arial"/>
          <w:sz w:val="22"/>
          <w:szCs w:val="22"/>
        </w:rPr>
        <w:t xml:space="preserve">Publishing research and analysis on environmental policy (without a call to action on specific legislation)</w:t>
      </w:r>
    </w:p>
    <w:p>
      <w:pPr>
        <w:pStyle w:val="ListParagraph"/>
        <w:numPr>
          <w:ilvl w:val="0"/>
          <w:numId w:val="2"/>
        </w:numPr>
        <w:spacing w:after="60"/>
      </w:pPr>
      <w:r>
        <w:rPr>
          <w:rFonts w:ascii="Arial" w:cs="Arial" w:eastAsia="Arial" w:hAnsi="Arial"/>
          <w:sz w:val="22"/>
          <w:szCs w:val="22"/>
        </w:rPr>
        <w:t xml:space="preserve">Responding to written requests from legislative bodies for technical expertise</w:t>
      </w:r>
    </w:p>
    <w:p>
      <w:pPr>
        <w:pStyle w:val="ListParagraph"/>
        <w:numPr>
          <w:ilvl w:val="0"/>
          <w:numId w:val="2"/>
        </w:numPr>
        <w:spacing w:after="60"/>
      </w:pPr>
      <w:r>
        <w:rPr>
          <w:rFonts w:ascii="Arial" w:cs="Arial" w:eastAsia="Arial" w:hAnsi="Arial"/>
          <w:sz w:val="22"/>
          <w:szCs w:val="22"/>
        </w:rPr>
        <w:t xml:space="preserve">Making available the results of nonpartisan analysis, study, or research</w:t>
      </w:r>
    </w:p>
    <w:p>
      <w:pPr>
        <w:pStyle w:val="ListParagraph"/>
        <w:numPr>
          <w:ilvl w:val="0"/>
          <w:numId w:val="2"/>
        </w:numPr>
        <w:spacing w:after="60"/>
      </w:pPr>
      <w:r>
        <w:rPr>
          <w:rFonts w:ascii="Arial" w:cs="Arial" w:eastAsia="Arial" w:hAnsi="Arial"/>
          <w:sz w:val="22"/>
          <w:szCs w:val="22"/>
        </w:rPr>
        <w:t xml:space="preserve">Self-defense communications regarding legislation that would affect the Foundation's existence, powers, or tax-exempt status</w:t>
      </w:r>
    </w:p>
    <w:p>
      <w:pPr>
        <w:pStyle w:val="ListParagraph"/>
        <w:numPr>
          <w:ilvl w:val="0"/>
          <w:numId w:val="2"/>
        </w:numPr>
        <w:spacing w:after="60"/>
      </w:pPr>
      <w:r>
        <w:rPr>
          <w:rFonts w:ascii="Arial" w:cs="Arial" w:eastAsia="Arial" w:hAnsi="Arial"/>
          <w:sz w:val="22"/>
          <w:szCs w:val="22"/>
        </w:rPr>
        <w:t xml:space="preserve">Discussions of broad social, economic, and environmental issues even if related to pending legislation, provided no specific legislation is referenced</w:t>
      </w:r>
    </w:p>
    <w:p>
      <w:pPr>
        <w:pStyle w:val="Heading1"/>
      </w:pPr>
      <w:r>
        <w:t xml:space="preserve">Restricted Activities</w:t>
      </w:r>
    </w:p>
    <w:p>
      <w:pPr>
        <w:pStyle w:val="ListParagraph"/>
        <w:numPr>
          <w:ilvl w:val="0"/>
          <w:numId w:val="2"/>
        </w:numPr>
        <w:spacing w:after="60"/>
      </w:pPr>
      <w:r>
        <w:rPr>
          <w:rFonts w:ascii="Arial" w:cs="Arial" w:eastAsia="Arial" w:hAnsi="Arial"/>
          <w:sz w:val="22"/>
          <w:szCs w:val="22"/>
        </w:rPr>
        <w:t xml:space="preserve">Directly contacting legislators to advocate for or against specific legislation without board authorization</w:t>
      </w:r>
    </w:p>
    <w:p>
      <w:pPr>
        <w:pStyle w:val="ListParagraph"/>
        <w:numPr>
          <w:ilvl w:val="0"/>
          <w:numId w:val="2"/>
        </w:numPr>
        <w:spacing w:after="60"/>
      </w:pPr>
      <w:r>
        <w:rPr>
          <w:rFonts w:ascii="Arial" w:cs="Arial" w:eastAsia="Arial" w:hAnsi="Arial"/>
          <w:sz w:val="22"/>
          <w:szCs w:val="22"/>
        </w:rPr>
        <w:t xml:space="preserve">Organizing campaigns urging the public to contact legislators about specific bills</w:t>
      </w:r>
    </w:p>
    <w:p>
      <w:pPr>
        <w:pStyle w:val="ListParagraph"/>
        <w:numPr>
          <w:ilvl w:val="0"/>
          <w:numId w:val="2"/>
        </w:numPr>
        <w:spacing w:after="60"/>
      </w:pPr>
      <w:r>
        <w:rPr>
          <w:rFonts w:ascii="Arial" w:cs="Arial" w:eastAsia="Arial" w:hAnsi="Arial"/>
          <w:sz w:val="22"/>
          <w:szCs w:val="22"/>
        </w:rPr>
        <w:t xml:space="preserve">Making contributions to political campaigns or candidates</w:t>
      </w:r>
    </w:p>
    <w:p>
      <w:pPr>
        <w:pStyle w:val="ListParagraph"/>
        <w:numPr>
          <w:ilvl w:val="0"/>
          <w:numId w:val="2"/>
        </w:numPr>
        <w:spacing w:after="60"/>
      </w:pPr>
      <w:r>
        <w:rPr>
          <w:rFonts w:ascii="Arial" w:cs="Arial" w:eastAsia="Arial" w:hAnsi="Arial"/>
          <w:sz w:val="22"/>
          <w:szCs w:val="22"/>
        </w:rPr>
        <w:t xml:space="preserve">Endorsing or opposing candidates for public office</w:t>
      </w:r>
    </w:p>
    <w:p>
      <w:pPr>
        <w:pStyle w:val="ListParagraph"/>
        <w:numPr>
          <w:ilvl w:val="0"/>
          <w:numId w:val="2"/>
        </w:numPr>
        <w:spacing w:after="60"/>
      </w:pPr>
      <w:r>
        <w:rPr>
          <w:rFonts w:ascii="Arial" w:cs="Arial" w:eastAsia="Arial" w:hAnsi="Arial"/>
          <w:sz w:val="22"/>
          <w:szCs w:val="22"/>
        </w:rPr>
        <w:t xml:space="preserve">Conducting voter registration drives with partisan intent</w:t>
      </w:r>
    </w:p>
    <w:p>
      <w:pPr>
        <w:pStyle w:val="Heading1"/>
      </w:pPr>
      <w:r>
        <w:t xml:space="preserve">Expenditure Limits</w:t>
      </w:r>
    </w:p>
    <w:p>
      <w:pPr>
        <w:spacing w:after="120"/>
      </w:pPr>
      <w:r>
        <w:rPr>
          <w:rFonts w:ascii="Arial" w:cs="Arial" w:eastAsia="Arial" w:hAnsi="Arial"/>
          <w:sz w:val="22"/>
          <w:szCs w:val="22"/>
        </w:rPr>
        <w:t xml:space="preserve">Under the 501(h) election (if made), lobbying expenditures are limited to:</w:t>
      </w:r>
    </w:p>
    <w:p>
      <w:pPr>
        <w:pStyle w:val="ListParagraph"/>
        <w:numPr>
          <w:ilvl w:val="0"/>
          <w:numId w:val="2"/>
        </w:numPr>
        <w:spacing w:after="60"/>
      </w:pPr>
      <w:r>
        <w:rPr>
          <w:rFonts w:ascii="Arial" w:cs="Arial" w:eastAsia="Arial" w:hAnsi="Arial"/>
          <w:sz w:val="22"/>
          <w:szCs w:val="22"/>
        </w:rPr>
        <w:t xml:space="preserve">Total lobbying: 20% of the first $500,000 of exempt purpose expenditures, with declining percentages on higher amounts, up to $1,000,000 maximum</w:t>
      </w:r>
    </w:p>
    <w:p>
      <w:pPr>
        <w:pStyle w:val="ListParagraph"/>
        <w:numPr>
          <w:ilvl w:val="0"/>
          <w:numId w:val="2"/>
        </w:numPr>
        <w:spacing w:after="60"/>
      </w:pPr>
      <w:r>
        <w:rPr>
          <w:rFonts w:ascii="Arial" w:cs="Arial" w:eastAsia="Arial" w:hAnsi="Arial"/>
          <w:sz w:val="22"/>
          <w:szCs w:val="22"/>
        </w:rPr>
        <w:t xml:space="preserve">Grassroots lobbying: 25% of the total lobbying limit</w:t>
      </w:r>
    </w:p>
    <w:p>
      <w:pPr>
        <w:spacing w:after="120"/>
      </w:pPr>
      <w:r>
        <w:rPr>
          <w:rFonts w:ascii="Arial" w:cs="Arial" w:eastAsia="Arial" w:hAnsi="Arial"/>
          <w:sz w:val="22"/>
          <w:szCs w:val="22"/>
        </w:rPr>
        <w:t xml:space="preserve">If Holon Foundation has not made the 501(h) election, the "insubstantial part" test applies, generally interpreted as no more than 5% of total activities.</w:t>
      </w:r>
    </w:p>
    <w:p>
      <w:pPr>
        <w:pStyle w:val="Heading1"/>
      </w:pPr>
      <w:r>
        <w:t xml:space="preserve">Monitoring and Reporting</w:t>
      </w:r>
    </w:p>
    <w:p>
      <w:pPr>
        <w:pStyle w:val="ListParagraph"/>
        <w:numPr>
          <w:ilvl w:val="0"/>
          <w:numId w:val="3"/>
        </w:numPr>
        <w:spacing w:after="60"/>
      </w:pPr>
      <w:r>
        <w:rPr>
          <w:rFonts w:ascii="Arial" w:cs="Arial" w:eastAsia="Arial" w:hAnsi="Arial"/>
          <w:sz w:val="22"/>
          <w:szCs w:val="22"/>
        </w:rPr>
        <w:t xml:space="preserve">All staff and board members report potential lobbying activities to the Executive Director before engaging.</w:t>
      </w:r>
    </w:p>
    <w:p>
      <w:pPr>
        <w:pStyle w:val="ListParagraph"/>
        <w:numPr>
          <w:ilvl w:val="0"/>
          <w:numId w:val="3"/>
        </w:numPr>
        <w:spacing w:after="60"/>
      </w:pPr>
      <w:r>
        <w:rPr>
          <w:rFonts w:ascii="Arial" w:cs="Arial" w:eastAsia="Arial" w:hAnsi="Arial"/>
          <w:sz w:val="22"/>
          <w:szCs w:val="22"/>
        </w:rPr>
        <w:t xml:space="preserve">The Executive Director tracks lobbying expenditures and reports to the Finance Committee quarterly.</w:t>
      </w:r>
    </w:p>
    <w:p>
      <w:pPr>
        <w:pStyle w:val="ListParagraph"/>
        <w:numPr>
          <w:ilvl w:val="0"/>
          <w:numId w:val="3"/>
        </w:numPr>
        <w:spacing w:after="60"/>
      </w:pPr>
      <w:r>
        <w:rPr>
          <w:rFonts w:ascii="Arial" w:cs="Arial" w:eastAsia="Arial" w:hAnsi="Arial"/>
          <w:sz w:val="22"/>
          <w:szCs w:val="22"/>
        </w:rPr>
        <w:t xml:space="preserve">Lobbying activities and expenditures are reported on Schedule C of Form 990.</w:t>
      </w:r>
    </w:p>
    <w:p>
      <w:pPr>
        <w:pStyle w:val="ListParagraph"/>
        <w:numPr>
          <w:ilvl w:val="0"/>
          <w:numId w:val="3"/>
        </w:numPr>
        <w:spacing w:after="60"/>
      </w:pPr>
      <w:r>
        <w:rPr>
          <w:rFonts w:ascii="Arial" w:cs="Arial" w:eastAsia="Arial" w:hAnsi="Arial"/>
          <w:sz w:val="22"/>
          <w:szCs w:val="22"/>
        </w:rPr>
        <w:t xml:space="preserve">The Governance Committee reviews this policy annually and recommends whether to make or maintain the 501(h) election.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C757D"/>
        <w:sz w:val="18"/>
        <w:szCs w:val="18"/>
      </w:rPr>
      <w:t xml:space="preserve">Page </w:t>
    </w:r>
    <w:r>
      <w:rPr>
        <w:rFonts w:ascii="Arial" w:cs="Arial" w:eastAsia="Arial" w:hAnsi="Arial"/>
        <w:color w:val="6C757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A4F" w:sz="2" w:space="1"/>
      </w:pBdr>
      <w:tabs>
        <w:tab w:val="right" w:pos="9026"/>
      </w:tabs>
    </w:pPr>
    <w:r>
      <w:rPr>
        <w:rFonts w:ascii="Arial" w:cs="Arial" w:eastAsia="Arial" w:hAnsi="Arial"/>
        <w:color w:val="2D6A4F"/>
        <w:sz w:val="18"/>
        <w:szCs w:val="18"/>
      </w:rPr>
      <w:t xml:space="preserve">Holon Foundation</w:t>
    </w:r>
    <w:r>
      <w:t xml:space="preserve">	</w:t>
    </w:r>
    <w:r>
      <w:rPr>
        <w:rFonts w:ascii="Arial" w:cs="Arial" w:eastAsia="Arial" w:hAnsi="Arial"/>
        <w:i/>
        <w:iCs/>
        <w:color w:val="6C757D"/>
        <w:sz w:val="18"/>
        <w:szCs w:val="18"/>
      </w:rPr>
      <w:t xml:space="preserve">Lobbying and Advocacy Compliance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upperLetter"/>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upperLetter"/>
      <w:lvlText w:val="%1."/>
      <w:lvlJc w:val="left"/>
      <w:pPr>
        <w:ind w:left="720" w:hanging="360"/>
      </w:pPr>
    </w:lvl>
  </w:abstractNum>
  <w:abstractNum w:abstractNumId="21" w15:restartNumberingAfterBreak="0">
    <w:multiLevelType w:val="hybridMultilevel"/>
    <w:lvl w:ilvl="0" w15:tentative="1">
      <w:start w:val="1"/>
      <w:numFmt w:val="upperLetter"/>
      <w:lvlText w:val="%1."/>
      <w:lvlJc w:val="left"/>
      <w:pPr>
        <w:ind w:left="720" w:hanging="360"/>
      </w:pPr>
    </w:lvl>
  </w:abstractNum>
  <w:abstractNum w:abstractNumId="22" w15:restartNumberingAfterBreak="0">
    <w:multiLevelType w:val="hybridMultilevel"/>
    <w:lvl w:ilvl="0" w15:tentative="1">
      <w:start w:val="1"/>
      <w:numFmt w:val="upperLetter"/>
      <w:lvlText w:val="%1."/>
      <w:lvlJc w:val="left"/>
      <w:pPr>
        <w:ind w:left="720" w:hanging="360"/>
      </w:pPr>
    </w:lvl>
  </w:abstractNum>
  <w:abstractNum w:abstractNumId="23" w15:restartNumberingAfterBreak="0">
    <w:multiLevelType w:val="hybridMultilevel"/>
    <w:lvl w:ilvl="0" w15:tentative="1">
      <w:start w:val="1"/>
      <w:numFmt w:val="upperLetter"/>
      <w:lvlText w:val="%1."/>
      <w:lvlJc w:val="left"/>
      <w:pPr>
        <w:ind w:left="720" w:hanging="360"/>
      </w:pPr>
    </w:lvl>
  </w:abstractNum>
  <w:abstractNum w:abstractNumId="24" w15:restartNumberingAfterBreak="0">
    <w:multiLevelType w:val="hybridMultilevel"/>
    <w:lvl w:ilvl="0" w15:tentative="1">
      <w:start w:val="1"/>
      <w:numFmt w:val="upp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332"/>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0B525B"/>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2D6A4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2026-03-11T11:37:11.612Z</dcterms:created>
  <dcterms:modified xsi:type="dcterms:W3CDTF">2026-03-11T11:37:11.612Z</dcterms:modified>
</cp:coreProperties>
</file>

<file path=docProps/custom.xml><?xml version="1.0" encoding="utf-8"?>
<Properties xmlns="http://schemas.openxmlformats.org/officeDocument/2006/custom-properties" xmlns:vt="http://schemas.openxmlformats.org/officeDocument/2006/docPropsVTypes"/>
</file>