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jc w:val="center"/>
      </w:pPr>
      <w:r>
        <w:rPr>
          <w:rFonts w:ascii="Arial" w:cs="Arial" w:eastAsia="Arial" w:hAnsi="Arial"/>
          <w:color w:val="2D6A4F"/>
          <w:spacing w:val="200"/>
          <w:sz w:val="18"/>
          <w:szCs w:val="18"/>
        </w:rPr>
        <w:t xml:space="preserve">HOLON FOUNDATION</w:t>
      </w:r>
    </w:p>
    <w:p>
      <w:pPr>
        <w:spacing w:after="80"/>
        <w:jc w:val="center"/>
      </w:pPr>
      <w:r>
        <w:rPr>
          <w:rFonts w:ascii="Arial" w:cs="Arial" w:eastAsia="Arial" w:hAnsi="Arial"/>
          <w:b/>
          <w:bCs/>
          <w:color w:val="1B4332"/>
          <w:sz w:val="36"/>
          <w:szCs w:val="36"/>
        </w:rPr>
        <w:t xml:space="preserve">Environmental Impact Reporting Standards</w:t>
      </w:r>
    </w:p>
    <w:p>
      <w:pPr>
        <w:pBdr>
          <w:bottom w:val="single" w:color="2D6A4F" w:sz="4" w:space="1"/>
        </w:pBdr>
        <w:spacing w:after="200"/>
        <w:jc w:val="center"/>
      </w:pPr>
      <w:r>
        <w:rPr>
          <w:rFonts w:ascii="Arial" w:cs="Arial" w:eastAsia="Arial" w:hAnsi="Arial"/>
          <w:i/>
          <w:iCs/>
          <w:color w:val="6C757D"/>
          <w:sz w:val="22"/>
          <w:szCs w:val="22"/>
        </w:rPr>
        <w:t xml:space="preserve">Methodology for conservation impact measurement and claims</w:t>
      </w:r>
    </w:p>
    <w:p>
      <w:pPr>
        <w:spacing w:after="40"/>
        <w:jc w:val="center"/>
      </w:pPr>
      <w:r>
        <w:rPr>
          <w:rFonts w:ascii="Arial" w:cs="Arial" w:eastAsia="Arial" w:hAnsi="Arial"/>
          <w:color w:val="6C757D"/>
          <w:sz w:val="18"/>
          <w:szCs w:val="18"/>
        </w:rPr>
        <w:t xml:space="preserve">Effective Date: ________________    |    Version 1.0</w:t>
      </w:r>
    </w:p>
    <w:p>
      <w:pPr>
        <w:spacing w:after="400"/>
        <w:jc w:val="center"/>
      </w:pPr>
      <w:r>
        <w:rPr>
          <w:rFonts w:ascii="Arial" w:cs="Arial" w:eastAsia="Arial" w:hAnsi="Arial"/>
          <w:color w:val="6C757D"/>
          <w:sz w:val="18"/>
          <w:szCs w:val="18"/>
        </w:rPr>
        <w:t xml:space="preserve">Approved by the Board of Directors on ________________</w:t>
      </w:r>
    </w:p>
    <w:p>
      <w:pPr>
        <w:pStyle w:val="Heading1"/>
      </w:pPr>
      <w:r>
        <w:t xml:space="preserve">Purpose</w:t>
      </w:r>
    </w:p>
    <w:p>
      <w:pPr>
        <w:spacing w:after="120"/>
      </w:pPr>
      <w:r>
        <w:rPr>
          <w:rFonts w:ascii="Arial" w:cs="Arial" w:eastAsia="Arial" w:hAnsi="Arial"/>
          <w:sz w:val="22"/>
          <w:szCs w:val="22"/>
        </w:rPr>
        <w:t xml:space="preserve">This document establishes standardized methodology and reporting practices for Holon Foundation's environmental impact claims. It ensures that all impact metrics reported to donors, regulators, and the public are accurate, verifiable, and scientifically grounded.</w:t>
      </w:r>
    </w:p>
    <w:p>
      <w:pPr>
        <w:pStyle w:val="Heading1"/>
      </w:pPr>
      <w:r>
        <w:t xml:space="preserve">Core Principles</w:t>
      </w:r>
    </w:p>
    <w:p>
      <w:pPr>
        <w:pStyle w:val="ListParagraph"/>
        <w:numPr>
          <w:ilvl w:val="0"/>
          <w:numId w:val="2"/>
        </w:numPr>
        <w:spacing w:after="60"/>
      </w:pPr>
      <w:r>
        <w:rPr>
          <w:rFonts w:ascii="Arial" w:cs="Arial" w:eastAsia="Arial" w:hAnsi="Arial"/>
          <w:b/>
          <w:bCs/>
          <w:sz w:val="22"/>
          <w:szCs w:val="22"/>
        </w:rPr>
        <w:t xml:space="preserve">Accuracy: </w:t>
      </w:r>
      <w:r>
        <w:rPr>
          <w:rFonts w:ascii="Arial" w:cs="Arial" w:eastAsia="Arial" w:hAnsi="Arial"/>
          <w:sz w:val="22"/>
          <w:szCs w:val="22"/>
        </w:rPr>
        <w:t xml:space="preserve">All impact claims are based on peer-reviewed science, established estimation models, or direct measurement.</w:t>
      </w:r>
    </w:p>
    <w:p>
      <w:pPr>
        <w:pStyle w:val="ListParagraph"/>
        <w:numPr>
          <w:ilvl w:val="0"/>
          <w:numId w:val="2"/>
        </w:numPr>
        <w:spacing w:after="60"/>
      </w:pPr>
      <w:r>
        <w:rPr>
          <w:rFonts w:ascii="Arial" w:cs="Arial" w:eastAsia="Arial" w:hAnsi="Arial"/>
          <w:b/>
          <w:bCs/>
          <w:sz w:val="22"/>
          <w:szCs w:val="22"/>
        </w:rPr>
        <w:t xml:space="preserve">Transparency: </w:t>
      </w:r>
      <w:r>
        <w:rPr>
          <w:rFonts w:ascii="Arial" w:cs="Arial" w:eastAsia="Arial" w:hAnsi="Arial"/>
          <w:sz w:val="22"/>
          <w:szCs w:val="22"/>
        </w:rPr>
        <w:t xml:space="preserve">Methodologies, assumptions, and data sources are publicly available and clearly documented.</w:t>
      </w:r>
    </w:p>
    <w:p>
      <w:pPr>
        <w:pStyle w:val="ListParagraph"/>
        <w:numPr>
          <w:ilvl w:val="0"/>
          <w:numId w:val="2"/>
        </w:numPr>
        <w:spacing w:after="60"/>
      </w:pPr>
      <w:r>
        <w:rPr>
          <w:rFonts w:ascii="Arial" w:cs="Arial" w:eastAsia="Arial" w:hAnsi="Arial"/>
          <w:b/>
          <w:bCs/>
          <w:sz w:val="22"/>
          <w:szCs w:val="22"/>
        </w:rPr>
        <w:t xml:space="preserve">Conservatism: </w:t>
      </w:r>
      <w:r>
        <w:rPr>
          <w:rFonts w:ascii="Arial" w:cs="Arial" w:eastAsia="Arial" w:hAnsi="Arial"/>
          <w:sz w:val="22"/>
          <w:szCs w:val="22"/>
        </w:rPr>
        <w:t xml:space="preserve">When estimation ranges exist, we report conservative (lower-bound) estimates to avoid overstating impact.</w:t>
      </w:r>
    </w:p>
    <w:p>
      <w:pPr>
        <w:pStyle w:val="ListParagraph"/>
        <w:numPr>
          <w:ilvl w:val="0"/>
          <w:numId w:val="2"/>
        </w:numPr>
        <w:spacing w:after="60"/>
      </w:pPr>
      <w:r>
        <w:rPr>
          <w:rFonts w:ascii="Arial" w:cs="Arial" w:eastAsia="Arial" w:hAnsi="Arial"/>
          <w:b/>
          <w:bCs/>
          <w:sz w:val="22"/>
          <w:szCs w:val="22"/>
        </w:rPr>
        <w:t xml:space="preserve">Verifiability: </w:t>
      </w:r>
      <w:r>
        <w:rPr>
          <w:rFonts w:ascii="Arial" w:cs="Arial" w:eastAsia="Arial" w:hAnsi="Arial"/>
          <w:sz w:val="22"/>
          <w:szCs w:val="22"/>
        </w:rPr>
        <w:t xml:space="preserve">Impact claims can be independently verified through the Trust Portal's peer verification system and professional verifiers.</w:t>
      </w:r>
    </w:p>
    <w:p>
      <w:pPr>
        <w:pStyle w:val="ListParagraph"/>
        <w:numPr>
          <w:ilvl w:val="0"/>
          <w:numId w:val="2"/>
        </w:numPr>
        <w:spacing w:after="60"/>
      </w:pPr>
      <w:r>
        <w:rPr>
          <w:rFonts w:ascii="Arial" w:cs="Arial" w:eastAsia="Arial" w:hAnsi="Arial"/>
          <w:b/>
          <w:bCs/>
          <w:sz w:val="22"/>
          <w:szCs w:val="22"/>
        </w:rPr>
        <w:t xml:space="preserve">Contextualization: </w:t>
      </w:r>
      <w:r>
        <w:rPr>
          <w:rFonts w:ascii="Arial" w:cs="Arial" w:eastAsia="Arial" w:hAnsi="Arial"/>
          <w:sz w:val="22"/>
          <w:szCs w:val="22"/>
        </w:rPr>
        <w:t xml:space="preserve">Impact metrics are presented in context, including geographic zone baselines, comparison benchmarks, and limitations.</w:t>
      </w:r>
    </w:p>
    <w:p>
      <w:pPr>
        <w:pStyle w:val="Heading1"/>
      </w:pPr>
      <w:r>
        <w:t xml:space="preserve">Impact Dimensions</w:t>
      </w:r>
    </w:p>
    <w:p>
      <w:pPr>
        <w:spacing w:after="120"/>
      </w:pPr>
      <w:r>
        <w:rPr>
          <w:rFonts w:ascii="Arial" w:cs="Arial" w:eastAsia="Arial" w:hAnsi="Arial"/>
          <w:sz w:val="22"/>
          <w:szCs w:val="22"/>
        </w:rPr>
        <w:t xml:space="preserve">Holon Foundation reports impact across eight dimensions, each with defined metrics and estimation methodologies: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4560"/>
      </w:tblGrid>
      <w:tr>
        <w:trPr>
          <w:tblHeader/>
        </w:trPr>
        <w:tc>
          <w:tcPr>
            <w:tcW w:type="dxa" w:w="18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Dimension</w:t>
            </w:r>
          </w:p>
        </w:tc>
        <w:tc>
          <w:tcPr>
            <w:tcW w:type="dxa" w:w="30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Key Metrics</w:t>
            </w:r>
          </w:p>
        </w:tc>
        <w:tc>
          <w:tcPr>
            <w:tcW w:type="dxa" w:w="4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Methodology Source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Water</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Gallons captured, stormwater banking, irrigation reduction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EPA rainfall-runoff models adapted for garden scale</w:t>
            </w:r>
          </w:p>
        </w:tc>
      </w:tr>
      <w:tr>
        <w:tc>
          <w:tcPr>
            <w:tcW w:type="dxa" w:w="1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Heat</w:t>
            </w:r>
          </w:p>
        </w:tc>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Temperature reduction, energy savings, surface cooling</w:t>
            </w:r>
          </w:p>
        </w:tc>
        <w:tc>
          <w:tcPr>
            <w:tcW w:type="dxa" w:w="4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Urban heat island research; DOE energy models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Carbon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CO2 sequestered, emissions avoided, chemical reduction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USDA carbon sequestration tables; EPA lawn equipment data</w:t>
            </w:r>
          </w:p>
        </w:tc>
      </w:tr>
      <w:tr>
        <w:tc>
          <w:tcPr>
            <w:tcW w:type="dxa" w:w="1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Noise</w:t>
            </w:r>
          </w:p>
        </w:tc>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Peace minutes generated, households affected</w:t>
            </w:r>
          </w:p>
        </w:tc>
        <w:tc>
          <w:tcPr>
            <w:tcW w:type="dxa" w:w="4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Acoustic ecology research; noise abatement studies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Biodiversity</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Species count, diversity index, pollinator support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Shannon diversity index; native plant databases</w:t>
            </w:r>
          </w:p>
        </w:tc>
      </w:tr>
      <w:tr>
        <w:tc>
          <w:tcPr>
            <w:tcW w:type="dxa" w:w="1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Economic</w:t>
            </w:r>
          </w:p>
        </w:tc>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Water bill savings, property value impact, municipal savings</w:t>
            </w:r>
          </w:p>
        </w:tc>
        <w:tc>
          <w:tcPr>
            <w:tcW w:type="dxa" w:w="4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Regional utility rate analysis; hedonic pricing studies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Social</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Community gravity, connectivity index, event participation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Social capital research; network analysis</w:t>
            </w:r>
          </w:p>
        </w:tc>
      </w:tr>
      <w:tr>
        <w:tc>
          <w:tcPr>
            <w:tcW w:type="dxa" w:w="1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Provenance</w:t>
            </w:r>
          </w:p>
        </w:tc>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Verification score, source diversity, data quality</w:t>
            </w:r>
          </w:p>
        </w:tc>
        <w:tc>
          <w:tcPr>
            <w:tcW w:type="dxa" w:w="4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Holon Foundation credibility scoring algorithm</w:t>
            </w:r>
          </w:p>
        </w:tc>
      </w:tr>
    </w:tbl>
    <w:p>
      <w:pPr>
        <w:pStyle w:val="Heading1"/>
      </w:pPr>
      <w:r>
        <w:t xml:space="preserve">Zone-Contextual Baselines</w:t>
      </w:r>
    </w:p>
    <w:p>
      <w:pPr>
        <w:spacing w:after="120"/>
      </w:pPr>
      <w:r>
        <w:rPr>
          <w:rFonts w:ascii="Arial" w:cs="Arial" w:eastAsia="Arial" w:hAnsi="Arial"/>
          <w:sz w:val="22"/>
          <w:szCs w:val="22"/>
        </w:rPr>
        <w:t xml:space="preserve">All impact calculations are adjusted for geographic context using Zone Baselines that account for local climate, rainfall patterns, soil types, and existing infrastructure. Current zones include: Central Texas, Gulf Coast Texas, North Texas, and Default. Additional zones will be developed as the Foundation expands geographically.</w:t>
      </w:r>
    </w:p>
    <w:p>
      <w:pPr>
        <w:pStyle w:val="Heading1"/>
      </w:pPr>
      <w:r>
        <w:t xml:space="preserve">Reporting Requirements</w:t>
      </w:r>
    </w:p>
    <w:p>
      <w:pPr>
        <w:pStyle w:val="ListParagraph"/>
        <w:numPr>
          <w:ilvl w:val="0"/>
          <w:numId w:val="3"/>
        </w:numPr>
        <w:spacing w:after="60"/>
      </w:pPr>
      <w:r>
        <w:rPr>
          <w:rFonts w:ascii="Arial" w:cs="Arial" w:eastAsia="Arial" w:hAnsi="Arial"/>
          <w:sz w:val="22"/>
          <w:szCs w:val="22"/>
        </w:rPr>
        <w:t xml:space="preserve">Annual Impact Report: Comprehensive impact data across all dimensions, published on holonfoundation.org.</w:t>
      </w:r>
    </w:p>
    <w:p>
      <w:pPr>
        <w:pStyle w:val="ListParagraph"/>
        <w:numPr>
          <w:ilvl w:val="0"/>
          <w:numId w:val="3"/>
        </w:numPr>
        <w:spacing w:after="60"/>
      </w:pPr>
      <w:r>
        <w:rPr>
          <w:rFonts w:ascii="Arial" w:cs="Arial" w:eastAsia="Arial" w:hAnsi="Arial"/>
          <w:sz w:val="22"/>
          <w:szCs w:val="22"/>
        </w:rPr>
        <w:t xml:space="preserve">Dashboard Metrics: Real-time impact calculations displayed on the Trust Portal and Public Impact Dashboard.</w:t>
      </w:r>
    </w:p>
    <w:p>
      <w:pPr>
        <w:pStyle w:val="ListParagraph"/>
        <w:numPr>
          <w:ilvl w:val="0"/>
          <w:numId w:val="3"/>
        </w:numPr>
        <w:spacing w:after="60"/>
      </w:pPr>
      <w:r>
        <w:rPr>
          <w:rFonts w:ascii="Arial" w:cs="Arial" w:eastAsia="Arial" w:hAnsi="Arial"/>
          <w:sz w:val="22"/>
          <w:szCs w:val="22"/>
        </w:rPr>
        <w:t xml:space="preserve">Donor Communications: Impact claims in fundraising materials must reference this Standards document.</w:t>
      </w:r>
    </w:p>
    <w:p>
      <w:pPr>
        <w:pStyle w:val="ListParagraph"/>
        <w:numPr>
          <w:ilvl w:val="0"/>
          <w:numId w:val="3"/>
        </w:numPr>
        <w:spacing w:after="60"/>
      </w:pPr>
      <w:r>
        <w:rPr>
          <w:rFonts w:ascii="Arial" w:cs="Arial" w:eastAsia="Arial" w:hAnsi="Arial"/>
          <w:sz w:val="22"/>
          <w:szCs w:val="22"/>
        </w:rPr>
        <w:t xml:space="preserve">Grant Reports: Impact data in grant reports must align with this methodology.</w:t>
      </w:r>
    </w:p>
    <w:p>
      <w:pPr>
        <w:pStyle w:val="Heading1"/>
      </w:pPr>
      <w:r>
        <w:t xml:space="preserve">Quality Assurance</w:t>
      </w:r>
    </w:p>
    <w:p>
      <w:pPr>
        <w:pStyle w:val="ListParagraph"/>
        <w:numPr>
          <w:ilvl w:val="0"/>
          <w:numId w:val="2"/>
        </w:numPr>
        <w:spacing w:after="60"/>
      </w:pPr>
      <w:r>
        <w:rPr>
          <w:rFonts w:ascii="Arial" w:cs="Arial" w:eastAsia="Arial" w:hAnsi="Arial"/>
          <w:sz w:val="22"/>
          <w:szCs w:val="22"/>
        </w:rPr>
        <w:t xml:space="preserve">The Programs and Impact Committee reviews impact methodology annually</w:t>
      </w:r>
    </w:p>
    <w:p>
      <w:pPr>
        <w:pStyle w:val="ListParagraph"/>
        <w:numPr>
          <w:ilvl w:val="0"/>
          <w:numId w:val="2"/>
        </w:numPr>
        <w:spacing w:after="60"/>
      </w:pPr>
      <w:r>
        <w:rPr>
          <w:rFonts w:ascii="Arial" w:cs="Arial" w:eastAsia="Arial" w:hAnsi="Arial"/>
          <w:sz w:val="22"/>
          <w:szCs w:val="22"/>
        </w:rPr>
        <w:t xml:space="preserve">Professional verifiers audit a random sample of garden impact calculations quarterly</w:t>
      </w:r>
    </w:p>
    <w:p>
      <w:pPr>
        <w:pStyle w:val="ListParagraph"/>
        <w:numPr>
          <w:ilvl w:val="0"/>
          <w:numId w:val="2"/>
        </w:numPr>
        <w:spacing w:after="60"/>
      </w:pPr>
      <w:r>
        <w:rPr>
          <w:rFonts w:ascii="Arial" w:cs="Arial" w:eastAsia="Arial" w:hAnsi="Arial"/>
          <w:sz w:val="22"/>
          <w:szCs w:val="22"/>
        </w:rPr>
        <w:t xml:space="preserve">Methodology updates require committee approval and public documentation of changes</w:t>
      </w:r>
    </w:p>
    <w:p>
      <w:pPr>
        <w:pStyle w:val="ListParagraph"/>
        <w:numPr>
          <w:ilvl w:val="0"/>
          <w:numId w:val="2"/>
        </w:numPr>
        <w:spacing w:after="60"/>
      </w:pPr>
      <w:r>
        <w:rPr>
          <w:rFonts w:ascii="Arial" w:cs="Arial" w:eastAsia="Arial" w:hAnsi="Arial"/>
          <w:sz w:val="22"/>
          <w:szCs w:val="22"/>
        </w:rPr>
        <w:t xml:space="preserve">Discrepancies between estimated and observed impact are investigated and reported</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C757D"/>
        <w:sz w:val="18"/>
        <w:szCs w:val="18"/>
      </w:rPr>
      <w:t xml:space="preserve">Page </w:t>
    </w:r>
    <w:r>
      <w:rPr>
        <w:rFonts w:ascii="Arial" w:cs="Arial" w:eastAsia="Arial" w:hAnsi="Arial"/>
        <w:color w:val="6C757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A4F" w:sz="2" w:space="1"/>
      </w:pBdr>
      <w:tabs>
        <w:tab w:val="right" w:pos="9026"/>
      </w:tabs>
    </w:pPr>
    <w:r>
      <w:rPr>
        <w:rFonts w:ascii="Arial" w:cs="Arial" w:eastAsia="Arial" w:hAnsi="Arial"/>
        <w:color w:val="2D6A4F"/>
        <w:sz w:val="18"/>
        <w:szCs w:val="18"/>
      </w:rPr>
      <w:t xml:space="preserve">Holon Foundation</w:t>
    </w:r>
    <w:r>
      <w:t xml:space="preserve">	</w:t>
    </w:r>
    <w:r>
      <w:rPr>
        <w:rFonts w:ascii="Arial" w:cs="Arial" w:eastAsia="Arial" w:hAnsi="Arial"/>
        <w:i/>
        <w:iCs/>
        <w:color w:val="6C757D"/>
        <w:sz w:val="18"/>
        <w:szCs w:val="18"/>
      </w:rPr>
      <w:t xml:space="preserve">Environmental Impact Reporting Standards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upperLetter"/>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upperLetter"/>
      <w:lvlText w:val="%1."/>
      <w:lvlJc w:val="left"/>
      <w:pPr>
        <w:ind w:left="720" w:hanging="360"/>
      </w:pPr>
    </w:lvl>
  </w:abstractNum>
  <w:abstractNum w:abstractNumId="21" w15:restartNumberingAfterBreak="0">
    <w:multiLevelType w:val="hybridMultilevel"/>
    <w:lvl w:ilvl="0" w15:tentative="1">
      <w:start w:val="1"/>
      <w:numFmt w:val="upperLetter"/>
      <w:lvlText w:val="%1."/>
      <w:lvlJc w:val="left"/>
      <w:pPr>
        <w:ind w:left="720" w:hanging="360"/>
      </w:pPr>
    </w:lvl>
  </w:abstractNum>
  <w:abstractNum w:abstractNumId="22" w15:restartNumberingAfterBreak="0">
    <w:multiLevelType w:val="hybridMultilevel"/>
    <w:lvl w:ilvl="0" w15:tentative="1">
      <w:start w:val="1"/>
      <w:numFmt w:val="upperLetter"/>
      <w:lvlText w:val="%1."/>
      <w:lvlJc w:val="left"/>
      <w:pPr>
        <w:ind w:left="720" w:hanging="360"/>
      </w:pPr>
    </w:lvl>
  </w:abstractNum>
  <w:abstractNum w:abstractNumId="23" w15:restartNumberingAfterBreak="0">
    <w:multiLevelType w:val="hybridMultilevel"/>
    <w:lvl w:ilvl="0" w15:tentative="1">
      <w:start w:val="1"/>
      <w:numFmt w:val="upperLetter"/>
      <w:lvlText w:val="%1."/>
      <w:lvlJc w:val="left"/>
      <w:pPr>
        <w:ind w:left="720" w:hanging="360"/>
      </w:pPr>
    </w:lvl>
  </w:abstractNum>
  <w:abstractNum w:abstractNumId="24" w15:restartNumberingAfterBreak="0">
    <w:multiLevelType w:val="hybridMultilevel"/>
    <w:lvl w:ilvl="0" w15:tentative="1">
      <w:start w:val="1"/>
      <w:numFmt w:val="upp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332"/>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0B525B"/>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2D6A4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2026-03-11T11:37:11.597Z</dcterms:created>
  <dcterms:modified xsi:type="dcterms:W3CDTF">2026-03-11T11:37:11.597Z</dcterms:modified>
</cp:coreProperties>
</file>

<file path=docProps/custom.xml><?xml version="1.0" encoding="utf-8"?>
<Properties xmlns="http://schemas.openxmlformats.org/officeDocument/2006/custom-properties" xmlns:vt="http://schemas.openxmlformats.org/officeDocument/2006/docPropsVTypes"/>
</file>