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20"/>
        <w:jc w:val="center"/>
      </w:pPr>
      <w:r>
        <w:rPr>
          <w:rFonts w:ascii="Arial" w:cs="Arial" w:eastAsia="Arial" w:hAnsi="Arial"/>
          <w:color w:val="2D6A4F"/>
          <w:spacing w:val="200"/>
          <w:sz w:val="18"/>
          <w:szCs w:val="18"/>
        </w:rPr>
        <w:t xml:space="preserve">HOLON FOUNDATION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B4332"/>
          <w:sz w:val="36"/>
          <w:szCs w:val="36"/>
        </w:rPr>
        <w:t xml:space="preserve">Social Media and Communications Policy</w:t>
      </w:r>
    </w:p>
    <w:p>
      <w:pPr>
        <w:pBdr>
          <w:bottom w:val="single" w:color="2D6A4F" w:sz="4" w:space="1"/>
        </w:pBdr>
        <w:spacing w:after="200"/>
        <w:jc w:val="center"/>
      </w:pPr>
      <w:r>
        <w:rPr>
          <w:rFonts w:ascii="Arial" w:cs="Arial" w:eastAsia="Arial" w:hAnsi="Arial"/>
          <w:i/>
          <w:iCs/>
          <w:color w:val="6C757D"/>
          <w:sz w:val="22"/>
          <w:szCs w:val="22"/>
        </w:rPr>
        <w:t xml:space="preserve">Guidelines for organizational voice and public statements</w:t>
      </w:r>
    </w:p>
    <w:p>
      <w:pPr>
        <w:spacing w:after="40"/>
        <w:jc w:val="center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Effective Date: ________________    |    Version 1.0</w:t>
      </w:r>
    </w:p>
    <w:p>
      <w:pPr>
        <w:spacing w:after="400"/>
        <w:jc w:val="center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Approved by the Board of Directors on ________________</w:t>
      </w:r>
    </w:p>
    <w:p>
      <w:pPr>
        <w:pStyle w:val="Heading1"/>
      </w:pPr>
      <w:r>
        <w:t xml:space="preserve">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policy provides guidelines for the use of social media and public communications by Holon Foundation representatives. It protects the organization's reputation, ensures consistent messaging, and respects individual expression.</w:t>
      </w:r>
    </w:p>
    <w:p>
      <w:pPr>
        <w:pStyle w:val="Heading1"/>
      </w:pPr>
      <w:r>
        <w:t xml:space="preserve">Official Communications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Only authorized personnel may post on Holon Foundation's official social media accounts or issue public statements on behalf of the organization.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The Executive Director or their designee is the primary spokesperson for media inquiries.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Board members should refer media inquiries to the Executive Director unless specifically authorized to respond.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All press releases, official statements, and marketing materials require Executive Director approval before distribution.</w:t>
      </w:r>
    </w:p>
    <w:p>
      <w:pPr>
        <w:pStyle w:val="Heading1"/>
      </w:pPr>
      <w:r>
        <w:t xml:space="preserve">Personal Social Media Use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When board members, staff, or volunteers use personal social media: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Clearly distinguish personal opinions from organizational positions (e.g., "Views are my own, not those of Holon Foundation")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 not disclose confidential or non-public organizational information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 not engage in public disputes or negative commentary about the organization, its leadership, or its programs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Be mindful that personal posts may be perceived as representing the organization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Report any negative or misleading social media content about Holon Foundation to the Executive Director</w:t>
      </w:r>
    </w:p>
    <w:p>
      <w:pPr>
        <w:pStyle w:val="Heading1"/>
      </w:pPr>
      <w:r>
        <w:t xml:space="preserve">Content Guidelines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All official content should reflect the Foundation's values of stewardship, integrity, respect, and inclusion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Obtain appropriate permissions before posting photos or content featuring identifiable individuals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Respect copyright and intellectual property rights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 not engage with trolls or hostile commenters; escalate to leadership if needed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Maintain a positive, educational, and mission-focused tone</w:t>
      </w:r>
    </w:p>
    <w:p>
      <w:pPr>
        <w:pStyle w:val="Heading1"/>
      </w:pPr>
      <w:r>
        <w:t xml:space="preserve">Crisis Communications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 the event of a public relations crisis or negative media attention: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All public comment is suspended until the Board Chair and Executive Director coordinate a response.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Board members and staff refrain from individual public comment about the matter.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designated spokesperson delivers all official statements.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Internal stakeholders are briefed before or simultaneously with public communication.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C757D"/>
        <w:sz w:val="18"/>
        <w:szCs w:val="18"/>
      </w:rPr>
      <w:t xml:space="preserve">Page </w:t>
    </w:r>
    <w:r>
      <w:rPr>
        <w:rFonts w:ascii="Arial" w:cs="Arial" w:eastAsia="Arial" w:hAnsi="Arial"/>
        <w:color w:val="6C757D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6A4F" w:sz="2" w:space="1"/>
      </w:pBdr>
      <w:tabs>
        <w:tab w:val="right" w:pos="9026"/>
      </w:tabs>
    </w:pPr>
    <w:r>
      <w:rPr>
        <w:rFonts w:ascii="Arial" w:cs="Arial" w:eastAsia="Arial" w:hAnsi="Arial"/>
        <w:color w:val="2D6A4F"/>
        <w:sz w:val="18"/>
        <w:szCs w:val="18"/>
      </w:rPr>
      <w:t xml:space="preserve">Holon Foundation</w:t>
    </w:r>
    <w:r>
      <w:t xml:space="preserve">	</w:t>
    </w:r>
    <w:r>
      <w:rPr>
        <w:rFonts w:ascii="Arial" w:cs="Arial" w:eastAsia="Arial" w:hAnsi="Arial"/>
        <w:i/>
        <w:iCs/>
        <w:color w:val="6C757D"/>
        <w:sz w:val="18"/>
        <w:szCs w:val="18"/>
      </w:rPr>
      <w:t xml:space="preserve">Social Media and Communications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332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0B525B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2D6A4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2026-03-11T11:37:11.549Z</dcterms:created>
  <dcterms:modified xsi:type="dcterms:W3CDTF">2026-03-11T11:37:11.549Z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