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Document Retention and Destruction Policy</w:t>
      </w:r>
    </w:p>
    <w:p>
      <w:pPr>
        <w:pBdr>
          <w:bottom w:val="single" w:color="2D6A4F" w:sz="4" w:space="1"/>
        </w:pBdr>
        <w:spacing w:after="200"/>
        <w:jc w:val="center"/>
      </w:pPr>
      <w:r>
        <w:rPr>
          <w:rFonts w:ascii="Arial" w:cs="Arial" w:eastAsia="Arial" w:hAnsi="Arial"/>
          <w:i/>
          <w:iCs/>
          <w:color w:val="6C757D"/>
          <w:sz w:val="22"/>
          <w:szCs w:val="22"/>
        </w:rPr>
        <w:t xml:space="preserve">Retention schedules for organizational records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policy establishes guidelines for the retention and destruction of Holon Foundation's documents and records. It ensures compliance with legal and regulatory requirements, supports organizational accountability, and protects the Foundation during audits and legal proceedings.</w:t>
      </w:r>
    </w:p>
    <w:p>
      <w:pPr>
        <w:pStyle w:val="Heading1"/>
      </w:pPr>
      <w:r>
        <w:t xml:space="preserve">Scope</w:t>
      </w:r>
    </w:p>
    <w:p>
      <w:pPr>
        <w:spacing w:after="120"/>
      </w:pPr>
      <w:r>
        <w:rPr>
          <w:rFonts w:ascii="Arial" w:cs="Arial" w:eastAsia="Arial" w:hAnsi="Arial"/>
          <w:sz w:val="22"/>
          <w:szCs w:val="22"/>
        </w:rPr>
        <w:t xml:space="preserve">This policy applies to all documents and records created, received, or maintained by Holon Foundation, regardless of format (paper, electronic, email, or other media).</w:t>
      </w:r>
    </w:p>
    <w:p>
      <w:pPr>
        <w:pStyle w:val="Heading1"/>
      </w:pPr>
      <w:r>
        <w:t xml:space="preserve">Retention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360"/>
        <w:gridCol w:w="3500"/>
      </w:tblGrid>
      <w:tr>
        <w:trPr>
          <w:tblHeader/>
        </w:trPr>
        <w:tc>
          <w:tcPr>
            <w:tcW w:type="dxa" w:w="35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Document Category</w:t>
            </w:r>
          </w:p>
        </w:tc>
        <w:tc>
          <w:tcPr>
            <w:tcW w:type="dxa" w:w="23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Retention Period</w:t>
            </w:r>
          </w:p>
        </w:tc>
        <w:tc>
          <w:tcPr>
            <w:tcW w:type="dxa" w:w="35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Articles of Incorporation / Bylaws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Maintain current and all historical versions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Board meeting minutes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Include all resolutions and voting records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Tax-exempt determination letter (IRS)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501(c)(3) determination and related correspondence</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Annual financial statements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Audited statements; include management letters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Form 990 tax returns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Retain all schedules and attachments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Audit reports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External audit reports and management responses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General ledger</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Annual general ledger and chart of accounts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Bank statements and reconciliations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All accounts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Accounts payable/receivable records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Invoices, receipts, payment records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Grant agreements and reports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7 years after grant closure</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Include all compliance documentation</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Donor records and acknowledgments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Gift receipts and correspondence</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Employment records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7 years after separation</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Personnel files, evaluations, disciplinary records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Payroll records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Tax filings, W-2s, benefit records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Insurance policies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All active and expired policies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Contracts and leases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 years after expiration</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Signed agreements and amendments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Conflict of interest disclosures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Annual disclosure forms and related records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Whistleblower reports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7 years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Investigation records and outcomes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Governance policies</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Current and all historical versions</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Strategic plans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Permanent</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 versions</w:t>
            </w:r>
          </w:p>
        </w:tc>
      </w:tr>
      <w:tr>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Correspondence (general)</w:t>
            </w:r>
          </w:p>
        </w:tc>
        <w:tc>
          <w:tcPr>
            <w:tcW w:type="dxa" w:w="2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3 years</w:t>
            </w:r>
          </w:p>
        </w:tc>
        <w:tc>
          <w:tcPr>
            <w:tcW w:type="dxa" w:w="35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Routine correspondence</w:t>
            </w:r>
          </w:p>
        </w:tc>
      </w:tr>
      <w:tr>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Email (general business)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years</w:t>
            </w:r>
          </w:p>
        </w:tc>
        <w:tc>
          <w:tcPr>
            <w:tcW w:type="dxa" w:w="3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Except as covered by other categories</w:t>
            </w:r>
          </w:p>
        </w:tc>
      </w:tr>
    </w:tbl>
    <w:p>
      <w:pPr>
        <w:pStyle w:val="Heading1"/>
      </w:pPr>
      <w:r>
        <w:t xml:space="preserve">Destruction Procedures</w:t>
      </w:r>
    </w:p>
    <w:p>
      <w:pPr>
        <w:pStyle w:val="ListParagraph"/>
        <w:numPr>
          <w:ilvl w:val="0"/>
          <w:numId w:val="2"/>
        </w:numPr>
        <w:spacing w:after="60"/>
      </w:pPr>
      <w:r>
        <w:rPr>
          <w:rFonts w:ascii="Arial" w:cs="Arial" w:eastAsia="Arial" w:hAnsi="Arial"/>
          <w:sz w:val="22"/>
          <w:szCs w:val="22"/>
        </w:rPr>
        <w:t xml:space="preserve">Documents that have met their retention period may be destroyed only with approval from the Executive Director or Board Chair.</w:t>
      </w:r>
    </w:p>
    <w:p>
      <w:pPr>
        <w:pStyle w:val="ListParagraph"/>
        <w:numPr>
          <w:ilvl w:val="0"/>
          <w:numId w:val="2"/>
        </w:numPr>
        <w:spacing w:after="60"/>
      </w:pPr>
      <w:r>
        <w:rPr>
          <w:rFonts w:ascii="Arial" w:cs="Arial" w:eastAsia="Arial" w:hAnsi="Arial"/>
          <w:sz w:val="22"/>
          <w:szCs w:val="22"/>
        </w:rPr>
        <w:t xml:space="preserve">Paper documents containing sensitive information must be shredded.</w:t>
      </w:r>
    </w:p>
    <w:p>
      <w:pPr>
        <w:pStyle w:val="ListParagraph"/>
        <w:numPr>
          <w:ilvl w:val="0"/>
          <w:numId w:val="2"/>
        </w:numPr>
        <w:spacing w:after="60"/>
      </w:pPr>
      <w:r>
        <w:rPr>
          <w:rFonts w:ascii="Arial" w:cs="Arial" w:eastAsia="Arial" w:hAnsi="Arial"/>
          <w:sz w:val="22"/>
          <w:szCs w:val="22"/>
        </w:rPr>
        <w:t xml:space="preserve">Electronic records must be permanently deleted using methods that prevent recovery.</w:t>
      </w:r>
    </w:p>
    <w:p>
      <w:pPr>
        <w:pStyle w:val="ListParagraph"/>
        <w:numPr>
          <w:ilvl w:val="0"/>
          <w:numId w:val="2"/>
        </w:numPr>
        <w:spacing w:after="60"/>
      </w:pPr>
      <w:r>
        <w:rPr>
          <w:rFonts w:ascii="Arial" w:cs="Arial" w:eastAsia="Arial" w:hAnsi="Arial"/>
          <w:sz w:val="22"/>
          <w:szCs w:val="22"/>
        </w:rPr>
        <w:t xml:space="preserve">A destruction log must be maintained recording: document description, date of destruction, method of destruction, and authorizing person.</w:t>
      </w:r>
    </w:p>
    <w:p>
      <w:pPr>
        <w:pStyle w:val="Heading1"/>
      </w:pPr>
      <w:r>
        <w:t xml:space="preserve">Litigation Hold</w:t>
      </w:r>
    </w:p>
    <w:p>
      <w:pPr>
        <w:spacing w:after="120"/>
      </w:pPr>
      <w:r>
        <w:rPr>
          <w:rFonts w:ascii="Arial" w:cs="Arial" w:eastAsia="Arial" w:hAnsi="Arial"/>
          <w:sz w:val="22"/>
          <w:szCs w:val="22"/>
        </w:rPr>
        <w:t xml:space="preserve">When Holon Foundation is involved in or reasonably anticipates litigation, audit, or investigation, all destruction of potentially relevant documents must cease immediately. The Board Chair or legal counsel will issue a litigation hold notice specifying the categories of documents to be preserved.</w:t>
      </w:r>
    </w:p>
    <w:p>
      <w:pPr>
        <w:pStyle w:val="Heading1"/>
      </w:pPr>
      <w:r>
        <w:t xml:space="preserve">Responsibilities</w:t>
      </w:r>
    </w:p>
    <w:p>
      <w:pPr>
        <w:pStyle w:val="ListParagraph"/>
        <w:numPr>
          <w:ilvl w:val="0"/>
          <w:numId w:val="3"/>
        </w:numPr>
        <w:spacing w:after="60"/>
      </w:pPr>
      <w:r>
        <w:rPr>
          <w:rFonts w:ascii="Arial" w:cs="Arial" w:eastAsia="Arial" w:hAnsi="Arial"/>
          <w:sz w:val="22"/>
          <w:szCs w:val="22"/>
        </w:rPr>
        <w:t xml:space="preserve">The Executive Director is responsible for implementing this policy and ensuring staff compliance.</w:t>
      </w:r>
    </w:p>
    <w:p>
      <w:pPr>
        <w:pStyle w:val="ListParagraph"/>
        <w:numPr>
          <w:ilvl w:val="0"/>
          <w:numId w:val="3"/>
        </w:numPr>
        <w:spacing w:after="60"/>
      </w:pPr>
      <w:r>
        <w:rPr>
          <w:rFonts w:ascii="Arial" w:cs="Arial" w:eastAsia="Arial" w:hAnsi="Arial"/>
          <w:sz w:val="22"/>
          <w:szCs w:val="22"/>
        </w:rPr>
        <w:t xml:space="preserve">The Finance and Audit Committee reviews this policy annually.</w:t>
      </w:r>
    </w:p>
    <w:p>
      <w:pPr>
        <w:pStyle w:val="ListParagraph"/>
        <w:numPr>
          <w:ilvl w:val="0"/>
          <w:numId w:val="3"/>
        </w:numPr>
        <w:spacing w:after="60"/>
      </w:pPr>
      <w:r>
        <w:rPr>
          <w:rFonts w:ascii="Arial" w:cs="Arial" w:eastAsia="Arial" w:hAnsi="Arial"/>
          <w:sz w:val="22"/>
          <w:szCs w:val="22"/>
        </w:rPr>
        <w:t xml:space="preserve">All staff, volunteers, and board members are responsible for retaining documents in accordance with this schedule.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Document Retention and Destruction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1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2026-03-11T11:37:11.428Z</dcterms:created>
  <dcterms:modified xsi:type="dcterms:W3CDTF">2026-03-11T11:37:11.428Z</dcterms:modified>
</cp:coreProperties>
</file>

<file path=docProps/custom.xml><?xml version="1.0" encoding="utf-8"?>
<Properties xmlns="http://schemas.openxmlformats.org/officeDocument/2006/custom-properties" xmlns:vt="http://schemas.openxmlformats.org/officeDocument/2006/docPropsVTypes"/>
</file>