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Whistleblower Protection Policy</w:t>
      </w:r>
    </w:p>
    <w:p>
      <w:pPr>
        <w:pBdr>
          <w:bottom w:val="single" w:color="2D6A4F" w:sz="4" w:space="1"/>
        </w:pBdr>
        <w:spacing w:after="200"/>
        <w:jc w:val="center"/>
      </w:pPr>
      <w:r>
        <w:rPr>
          <w:rFonts w:ascii="Arial" w:cs="Arial" w:eastAsia="Arial" w:hAnsi="Arial"/>
          <w:i/>
          <w:iCs/>
          <w:color w:val="6C757D"/>
          <w:sz w:val="22"/>
          <w:szCs w:val="22"/>
        </w:rPr>
        <w:t xml:space="preserve">Confidential reporting channels and non-retaliation protections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Holon Foundation is committed to maintaining the highest standards of ethical conduct and legal compliance. This policy establishes safe, confidential channels for reporting suspected misconduct, fraud, financial irregularities, or violations of law or organizational policy, and provides robust protection against retaliation for those who report in good faith.</w:t>
      </w:r>
    </w:p>
    <w:p>
      <w:pPr>
        <w:pStyle w:val="Heading1"/>
      </w:pPr>
      <w:r>
        <w:t xml:space="preserve">Scope</w:t>
      </w:r>
    </w:p>
    <w:p>
      <w:pPr>
        <w:spacing w:after="120"/>
      </w:pPr>
      <w:r>
        <w:rPr>
          <w:rFonts w:ascii="Arial" w:cs="Arial" w:eastAsia="Arial" w:hAnsi="Arial"/>
          <w:sz w:val="22"/>
          <w:szCs w:val="22"/>
        </w:rPr>
        <w:t xml:space="preserve">This policy applies to all directors, officers, employees, volunteers, contractors, and any other persons associated with Holon Foundation who become aware of or suspect wrongdoing.</w:t>
      </w:r>
    </w:p>
    <w:p>
      <w:pPr>
        <w:pStyle w:val="Heading1"/>
      </w:pPr>
      <w:r>
        <w:t xml:space="preserve">Protected Disclosures</w:t>
      </w:r>
    </w:p>
    <w:p>
      <w:pPr>
        <w:spacing w:after="120"/>
      </w:pPr>
      <w:r>
        <w:rPr>
          <w:rFonts w:ascii="Arial" w:cs="Arial" w:eastAsia="Arial" w:hAnsi="Arial"/>
          <w:sz w:val="22"/>
          <w:szCs w:val="22"/>
        </w:rPr>
        <w:t xml:space="preserve">Reports may concern, but are not limited to:</w:t>
      </w:r>
    </w:p>
    <w:p>
      <w:pPr>
        <w:pStyle w:val="ListParagraph"/>
        <w:numPr>
          <w:ilvl w:val="0"/>
          <w:numId w:val="2"/>
        </w:numPr>
        <w:spacing w:after="60"/>
      </w:pPr>
      <w:r>
        <w:rPr>
          <w:rFonts w:ascii="Arial" w:cs="Arial" w:eastAsia="Arial" w:hAnsi="Arial"/>
          <w:sz w:val="22"/>
          <w:szCs w:val="22"/>
        </w:rPr>
        <w:t xml:space="preserve">Fraud, theft, embezzlement, or misappropriation of assets</w:t>
      </w:r>
    </w:p>
    <w:p>
      <w:pPr>
        <w:pStyle w:val="ListParagraph"/>
        <w:numPr>
          <w:ilvl w:val="0"/>
          <w:numId w:val="2"/>
        </w:numPr>
        <w:spacing w:after="60"/>
      </w:pPr>
      <w:r>
        <w:rPr>
          <w:rFonts w:ascii="Arial" w:cs="Arial" w:eastAsia="Arial" w:hAnsi="Arial"/>
          <w:sz w:val="22"/>
          <w:szCs w:val="22"/>
        </w:rPr>
        <w:t xml:space="preserve">Violations of federal, state, or local law</w:t>
      </w:r>
    </w:p>
    <w:p>
      <w:pPr>
        <w:pStyle w:val="ListParagraph"/>
        <w:numPr>
          <w:ilvl w:val="0"/>
          <w:numId w:val="2"/>
        </w:numPr>
        <w:spacing w:after="60"/>
      </w:pPr>
      <w:r>
        <w:rPr>
          <w:rFonts w:ascii="Arial" w:cs="Arial" w:eastAsia="Arial" w:hAnsi="Arial"/>
          <w:sz w:val="22"/>
          <w:szCs w:val="22"/>
        </w:rPr>
        <w:t xml:space="preserve">Violations of Holon Foundation policies, including the Ethics and Conflict of Interest Policy</w:t>
      </w:r>
    </w:p>
    <w:p>
      <w:pPr>
        <w:pStyle w:val="ListParagraph"/>
        <w:numPr>
          <w:ilvl w:val="0"/>
          <w:numId w:val="2"/>
        </w:numPr>
        <w:spacing w:after="60"/>
      </w:pPr>
      <w:r>
        <w:rPr>
          <w:rFonts w:ascii="Arial" w:cs="Arial" w:eastAsia="Arial" w:hAnsi="Arial"/>
          <w:sz w:val="22"/>
          <w:szCs w:val="22"/>
        </w:rPr>
        <w:t xml:space="preserve">Financial mismanagement or irregularities in accounting or auditing</w:t>
      </w:r>
    </w:p>
    <w:p>
      <w:pPr>
        <w:pStyle w:val="ListParagraph"/>
        <w:numPr>
          <w:ilvl w:val="0"/>
          <w:numId w:val="2"/>
        </w:numPr>
        <w:spacing w:after="60"/>
      </w:pPr>
      <w:r>
        <w:rPr>
          <w:rFonts w:ascii="Arial" w:cs="Arial" w:eastAsia="Arial" w:hAnsi="Arial"/>
          <w:sz w:val="22"/>
          <w:szCs w:val="22"/>
        </w:rPr>
        <w:t xml:space="preserve">Endangerment of health, safety, or the environment</w:t>
      </w:r>
    </w:p>
    <w:p>
      <w:pPr>
        <w:pStyle w:val="ListParagraph"/>
        <w:numPr>
          <w:ilvl w:val="0"/>
          <w:numId w:val="2"/>
        </w:numPr>
        <w:spacing w:after="60"/>
      </w:pPr>
      <w:r>
        <w:rPr>
          <w:rFonts w:ascii="Arial" w:cs="Arial" w:eastAsia="Arial" w:hAnsi="Arial"/>
          <w:sz w:val="22"/>
          <w:szCs w:val="22"/>
        </w:rPr>
        <w:t xml:space="preserve">Abuse of authority or position</w:t>
      </w:r>
    </w:p>
    <w:p>
      <w:pPr>
        <w:pStyle w:val="ListParagraph"/>
        <w:numPr>
          <w:ilvl w:val="0"/>
          <w:numId w:val="2"/>
        </w:numPr>
        <w:spacing w:after="60"/>
      </w:pPr>
      <w:r>
        <w:rPr>
          <w:rFonts w:ascii="Arial" w:cs="Arial" w:eastAsia="Arial" w:hAnsi="Arial"/>
          <w:sz w:val="22"/>
          <w:szCs w:val="22"/>
        </w:rPr>
        <w:t xml:space="preserve">Retaliation against any person who has made a report under this policy</w:t>
      </w:r>
    </w:p>
    <w:p>
      <w:pPr>
        <w:pStyle w:val="ListParagraph"/>
        <w:numPr>
          <w:ilvl w:val="0"/>
          <w:numId w:val="2"/>
        </w:numPr>
        <w:spacing w:after="60"/>
      </w:pPr>
      <w:r>
        <w:rPr>
          <w:rFonts w:ascii="Arial" w:cs="Arial" w:eastAsia="Arial" w:hAnsi="Arial"/>
          <w:sz w:val="22"/>
          <w:szCs w:val="22"/>
        </w:rPr>
        <w:t xml:space="preserve">Falsification of records or reports</w:t>
      </w:r>
    </w:p>
    <w:p>
      <w:pPr>
        <w:pStyle w:val="Heading1"/>
      </w:pPr>
      <w:r>
        <w:t xml:space="preserve">Reporting Channels</w:t>
      </w:r>
    </w:p>
    <w:p>
      <w:pPr>
        <w:pStyle w:val="ListParagraph"/>
        <w:numPr>
          <w:ilvl w:val="0"/>
          <w:numId w:val="3"/>
        </w:numPr>
        <w:spacing w:after="60"/>
      </w:pPr>
      <w:r>
        <w:rPr>
          <w:rFonts w:ascii="Arial" w:cs="Arial" w:eastAsia="Arial" w:hAnsi="Arial"/>
          <w:sz w:val="22"/>
          <w:szCs w:val="22"/>
        </w:rPr>
        <w:t xml:space="preserve">Direct Report: Report concerns verbally or in writing to the Board Chair or Governance Committee Chair.</w:t>
      </w:r>
    </w:p>
    <w:p>
      <w:pPr>
        <w:pStyle w:val="ListParagraph"/>
        <w:numPr>
          <w:ilvl w:val="0"/>
          <w:numId w:val="3"/>
        </w:numPr>
        <w:spacing w:after="60"/>
      </w:pPr>
      <w:r>
        <w:rPr>
          <w:rFonts w:ascii="Arial" w:cs="Arial" w:eastAsia="Arial" w:hAnsi="Arial"/>
          <w:sz w:val="22"/>
          <w:szCs w:val="22"/>
        </w:rPr>
        <w:t xml:space="preserve">Anonymous Report: Submit concerns through the anonymous reporting form available on holonfoundation.org or the Governance sub-module at holonfoundation.app. Anonymous reports will be investigated to the extent possible given the information provided.</w:t>
      </w:r>
    </w:p>
    <w:p>
      <w:pPr>
        <w:pStyle w:val="ListParagraph"/>
        <w:numPr>
          <w:ilvl w:val="0"/>
          <w:numId w:val="3"/>
        </w:numPr>
        <w:spacing w:after="60"/>
      </w:pPr>
      <w:r>
        <w:rPr>
          <w:rFonts w:ascii="Arial" w:cs="Arial" w:eastAsia="Arial" w:hAnsi="Arial"/>
          <w:sz w:val="22"/>
          <w:szCs w:val="22"/>
        </w:rPr>
        <w:t xml:space="preserve">External Report: If the concern involves the Board Chair or the reporting person believes internal channels are compromised, reports may be directed to the organization's legal counsel.</w:t>
      </w:r>
    </w:p>
    <w:p>
      <w:pPr>
        <w:pStyle w:val="Heading1"/>
      </w:pPr>
      <w:r>
        <w:t xml:space="preserve">Investigation Process</w:t>
      </w:r>
    </w:p>
    <w:p>
      <w:pPr>
        <w:pStyle w:val="ListParagraph"/>
        <w:numPr>
          <w:ilvl w:val="0"/>
          <w:numId w:val="4"/>
        </w:numPr>
        <w:spacing w:after="60"/>
      </w:pPr>
      <w:r>
        <w:rPr>
          <w:rFonts w:ascii="Arial" w:cs="Arial" w:eastAsia="Arial" w:hAnsi="Arial"/>
          <w:sz w:val="22"/>
          <w:szCs w:val="22"/>
        </w:rPr>
        <w:t xml:space="preserve">All reports will be acknowledged within 5 business days of receipt (except anonymous reports where no contact information is provided).</w:t>
      </w:r>
    </w:p>
    <w:p>
      <w:pPr>
        <w:pStyle w:val="ListParagraph"/>
        <w:numPr>
          <w:ilvl w:val="0"/>
          <w:numId w:val="4"/>
        </w:numPr>
        <w:spacing w:after="60"/>
      </w:pPr>
      <w:r>
        <w:rPr>
          <w:rFonts w:ascii="Arial" w:cs="Arial" w:eastAsia="Arial" w:hAnsi="Arial"/>
          <w:sz w:val="22"/>
          <w:szCs w:val="22"/>
        </w:rPr>
        <w:t xml:space="preserve">The Governance Committee Chair, or their designee, will oversee the investigation. If the concern involves the Governance Committee Chair, the Board Chair will appoint an alternative investigator.</w:t>
      </w:r>
    </w:p>
    <w:p>
      <w:pPr>
        <w:pStyle w:val="ListParagraph"/>
        <w:numPr>
          <w:ilvl w:val="0"/>
          <w:numId w:val="4"/>
        </w:numPr>
        <w:spacing w:after="60"/>
      </w:pPr>
      <w:r>
        <w:rPr>
          <w:rFonts w:ascii="Arial" w:cs="Arial" w:eastAsia="Arial" w:hAnsi="Arial"/>
          <w:sz w:val="22"/>
          <w:szCs w:val="22"/>
        </w:rPr>
        <w:t xml:space="preserve">Investigations will be conducted promptly, thoroughly, and with appropriate confidentiality.</w:t>
      </w:r>
    </w:p>
    <w:p>
      <w:pPr>
        <w:pStyle w:val="ListParagraph"/>
        <w:numPr>
          <w:ilvl w:val="0"/>
          <w:numId w:val="4"/>
        </w:numPr>
        <w:spacing w:after="60"/>
      </w:pPr>
      <w:r>
        <w:rPr>
          <w:rFonts w:ascii="Arial" w:cs="Arial" w:eastAsia="Arial" w:hAnsi="Arial"/>
          <w:sz w:val="22"/>
          <w:szCs w:val="22"/>
        </w:rPr>
        <w:t xml:space="preserve">The reporter will be informed of the outcome of the investigation to the extent consistent with confidentiality and legal obligations.</w:t>
      </w:r>
    </w:p>
    <w:p>
      <w:pPr>
        <w:pStyle w:val="ListParagraph"/>
        <w:numPr>
          <w:ilvl w:val="0"/>
          <w:numId w:val="4"/>
        </w:numPr>
        <w:spacing w:after="60"/>
      </w:pPr>
      <w:r>
        <w:rPr>
          <w:rFonts w:ascii="Arial" w:cs="Arial" w:eastAsia="Arial" w:hAnsi="Arial"/>
          <w:sz w:val="22"/>
          <w:szCs w:val="22"/>
        </w:rPr>
        <w:t xml:space="preserve">Findings and recommended actions will be presented to the board or appropriate committee for decision.</w:t>
      </w:r>
    </w:p>
    <w:p>
      <w:pPr>
        <w:pStyle w:val="Heading1"/>
      </w:pPr>
      <w:r>
        <w:t xml:space="preserve">Non-Retaliation Protection</w:t>
      </w:r>
    </w:p>
    <w:p>
      <w:pPr>
        <w:spacing w:after="120"/>
      </w:pPr>
      <w:r>
        <w:rPr>
          <w:rFonts w:ascii="Arial" w:cs="Arial" w:eastAsia="Arial" w:hAnsi="Arial"/>
          <w:sz w:val="22"/>
          <w:szCs w:val="22"/>
        </w:rPr>
        <w:t xml:space="preserve">Holon Foundation strictly prohibits retaliation against any person who, in good faith, reports suspected misconduct or participates in an investigation. Retaliation includes but is not limited to:</w:t>
      </w:r>
    </w:p>
    <w:p>
      <w:pPr>
        <w:pStyle w:val="ListParagraph"/>
        <w:numPr>
          <w:ilvl w:val="0"/>
          <w:numId w:val="2"/>
        </w:numPr>
        <w:spacing w:after="60"/>
      </w:pPr>
      <w:r>
        <w:rPr>
          <w:rFonts w:ascii="Arial" w:cs="Arial" w:eastAsia="Arial" w:hAnsi="Arial"/>
          <w:sz w:val="22"/>
          <w:szCs w:val="22"/>
        </w:rPr>
        <w:t xml:space="preserve">Termination, suspension, demotion, or reduction in duties</w:t>
      </w:r>
    </w:p>
    <w:p>
      <w:pPr>
        <w:pStyle w:val="ListParagraph"/>
        <w:numPr>
          <w:ilvl w:val="0"/>
          <w:numId w:val="2"/>
        </w:numPr>
        <w:spacing w:after="60"/>
      </w:pPr>
      <w:r>
        <w:rPr>
          <w:rFonts w:ascii="Arial" w:cs="Arial" w:eastAsia="Arial" w:hAnsi="Arial"/>
          <w:sz w:val="22"/>
          <w:szCs w:val="22"/>
        </w:rPr>
        <w:t xml:space="preserve">Harassment, intimidation, or threats</w:t>
      </w:r>
    </w:p>
    <w:p>
      <w:pPr>
        <w:pStyle w:val="ListParagraph"/>
        <w:numPr>
          <w:ilvl w:val="0"/>
          <w:numId w:val="2"/>
        </w:numPr>
        <w:spacing w:after="60"/>
      </w:pPr>
      <w:r>
        <w:rPr>
          <w:rFonts w:ascii="Arial" w:cs="Arial" w:eastAsia="Arial" w:hAnsi="Arial"/>
          <w:sz w:val="22"/>
          <w:szCs w:val="22"/>
        </w:rPr>
        <w:t xml:space="preserve">Exclusion from meetings, communications, or decision-making</w:t>
      </w:r>
    </w:p>
    <w:p>
      <w:pPr>
        <w:pStyle w:val="ListParagraph"/>
        <w:numPr>
          <w:ilvl w:val="0"/>
          <w:numId w:val="2"/>
        </w:numPr>
        <w:spacing w:after="60"/>
      </w:pPr>
      <w:r>
        <w:rPr>
          <w:rFonts w:ascii="Arial" w:cs="Arial" w:eastAsia="Arial" w:hAnsi="Arial"/>
          <w:sz w:val="22"/>
          <w:szCs w:val="22"/>
        </w:rPr>
        <w:t xml:space="preserve">Negative performance evaluations based on the act of reporting</w:t>
      </w:r>
    </w:p>
    <w:p>
      <w:pPr>
        <w:pStyle w:val="ListParagraph"/>
        <w:numPr>
          <w:ilvl w:val="0"/>
          <w:numId w:val="2"/>
        </w:numPr>
        <w:spacing w:after="60"/>
      </w:pPr>
      <w:r>
        <w:rPr>
          <w:rFonts w:ascii="Arial" w:cs="Arial" w:eastAsia="Arial" w:hAnsi="Arial"/>
          <w:sz w:val="22"/>
          <w:szCs w:val="22"/>
        </w:rPr>
        <w:t xml:space="preserve">Any other adverse action taken because of the report</w:t>
      </w:r>
    </w:p>
    <w:p>
      <w:pPr>
        <w:spacing w:after="80"/>
      </w:pPr>
    </w:p>
    <w:p>
      <w:pPr>
        <w:spacing w:after="120"/>
      </w:pPr>
      <w:r>
        <w:rPr>
          <w:rFonts w:ascii="Arial" w:cs="Arial" w:eastAsia="Arial" w:hAnsi="Arial"/>
          <w:sz w:val="22"/>
          <w:szCs w:val="22"/>
        </w:rPr>
        <w:t xml:space="preserve">Any person who engages in retaliation will be subject to disciplinary action, up to and including removal from the board or termination of employment.</w:t>
      </w:r>
    </w:p>
    <w:p>
      <w:pPr>
        <w:pStyle w:val="Heading1"/>
      </w:pPr>
      <w:r>
        <w:t xml:space="preserve">Good Faith Requirement</w:t>
      </w:r>
    </w:p>
    <w:p>
      <w:pPr>
        <w:spacing w:after="120"/>
      </w:pPr>
      <w:r>
        <w:rPr>
          <w:rFonts w:ascii="Arial" w:cs="Arial" w:eastAsia="Arial" w:hAnsi="Arial"/>
          <w:sz w:val="22"/>
          <w:szCs w:val="22"/>
        </w:rPr>
        <w:t xml:space="preserve">Reports must be made in good faith and based on a reasonable belief that wrongdoing has occurred. Reports that are knowingly false, frivolous, or made with malicious intent are not protected under this policy and may result in disciplinary action.</w:t>
      </w:r>
    </w:p>
    <w:p>
      <w:pPr>
        <w:pStyle w:val="Heading1"/>
      </w:pPr>
      <w:r>
        <w:t xml:space="preserve">Record Keeping</w:t>
      </w:r>
    </w:p>
    <w:p>
      <w:pPr>
        <w:spacing w:after="120"/>
      </w:pPr>
      <w:r>
        <w:rPr>
          <w:rFonts w:ascii="Arial" w:cs="Arial" w:eastAsia="Arial" w:hAnsi="Arial"/>
          <w:sz w:val="22"/>
          <w:szCs w:val="22"/>
        </w:rPr>
        <w:t xml:space="preserve">All reports and investigation records will be maintained in a secure, confidential file for a minimum of seven years. Access is restricted to the Governance Committee Chair, the investigating party, and legal counsel.</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3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Signature</w:t>
            </w:r>
          </w:p>
        </w:tc>
        <w:tc>
          <w:tcPr>
            <w:tcW w:type="dxa" w:w="6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Whistleblower Protection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1"/>
    <w:lvlOverride w:ilvl="0">
      <w:startOverride w:val="1"/>
    </w:lvlOverride>
  </w:num>
  <w:num w:numId="4">
    <w:abstractNumId w:val="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2026-03-11T11:37:11.411Z</dcterms:created>
  <dcterms:modified xsi:type="dcterms:W3CDTF">2026-03-11T11:37:11.411Z</dcterms:modified>
</cp:coreProperties>
</file>

<file path=docProps/custom.xml><?xml version="1.0" encoding="utf-8"?>
<Properties xmlns="http://schemas.openxmlformats.org/officeDocument/2006/custom-properties" xmlns:vt="http://schemas.openxmlformats.org/officeDocument/2006/docPropsVTypes"/>
</file>